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eastAsia="宋体"/>
          <w:b/>
          <w:bCs/>
          <w:sz w:val="48"/>
          <w:szCs w:val="48"/>
          <w:lang w:eastAsia="zh-CN"/>
        </w:rPr>
      </w:pPr>
      <w:r>
        <w:rPr>
          <w:rFonts w:hint="eastAsia"/>
          <w:b/>
          <w:bCs/>
          <w:sz w:val="48"/>
          <w:szCs w:val="48"/>
          <w:lang w:val="en-US" w:eastAsia="zh-CN"/>
        </w:rPr>
        <w:t xml:space="preserve"> </w:t>
      </w:r>
      <w:r>
        <w:rPr>
          <w:rFonts w:hint="eastAsia"/>
          <w:b/>
          <w:bCs/>
          <w:sz w:val="48"/>
          <w:szCs w:val="48"/>
          <w:lang w:eastAsia="zh-CN"/>
        </w:rPr>
        <w:t>三门峡黄河天鹅湖湿地保护中心天鹅湖湿地公园青龙坝道路改造工程</w:t>
      </w:r>
    </w:p>
    <w:p>
      <w:pPr>
        <w:spacing w:line="480" w:lineRule="auto"/>
        <w:jc w:val="center"/>
        <w:rPr>
          <w:rFonts w:asciiTheme="minorEastAsia" w:hAnsiTheme="minorEastAsia" w:eastAsiaTheme="minorEastAsia"/>
          <w:b/>
          <w:sz w:val="72"/>
          <w:szCs w:val="72"/>
        </w:rPr>
      </w:pPr>
    </w:p>
    <w:p>
      <w:pPr>
        <w:spacing w:line="480" w:lineRule="auto"/>
        <w:jc w:val="center"/>
        <w:rPr>
          <w:rFonts w:asciiTheme="minorEastAsia" w:hAnsiTheme="minorEastAsia" w:eastAsiaTheme="minorEastAsia"/>
          <w:b/>
          <w:sz w:val="72"/>
          <w:szCs w:val="72"/>
        </w:rPr>
      </w:pPr>
      <w:bookmarkStart w:id="0" w:name="OLE_LINK2"/>
      <w:r>
        <w:rPr>
          <w:rFonts w:hint="eastAsia" w:asciiTheme="minorEastAsia" w:hAnsiTheme="minorEastAsia" w:eastAsiaTheme="minorEastAsia"/>
          <w:b/>
          <w:sz w:val="72"/>
          <w:szCs w:val="72"/>
        </w:rPr>
        <w:t>竞争性磋商文件</w:t>
      </w:r>
    </w:p>
    <w:bookmarkEnd w:id="0"/>
    <w:p>
      <w:pPr>
        <w:spacing w:line="540" w:lineRule="exact"/>
        <w:rPr>
          <w:rFonts w:cs="宋体" w:asciiTheme="minorEastAsia" w:hAnsiTheme="minorEastAsia" w:eastAsiaTheme="minorEastAsia"/>
          <w:b/>
          <w:bCs/>
          <w:sz w:val="28"/>
          <w:szCs w:val="28"/>
        </w:rPr>
      </w:pPr>
    </w:p>
    <w:p>
      <w:pPr>
        <w:widowControl/>
        <w:shd w:val="clear" w:color="auto" w:fill="FFFFFF"/>
        <w:spacing w:line="390" w:lineRule="atLeast"/>
        <w:jc w:val="center"/>
        <w:rPr>
          <w:rFonts w:hint="eastAsia" w:cs="宋体" w:asciiTheme="minorEastAsia" w:hAnsiTheme="minorEastAsia" w:eastAsiaTheme="minorEastAsia"/>
          <w:b/>
          <w:bCs/>
          <w:sz w:val="28"/>
          <w:szCs w:val="28"/>
          <w:lang w:val="en-US" w:eastAsia="zh-CN"/>
        </w:rPr>
      </w:pPr>
      <w:r>
        <w:rPr>
          <w:rFonts w:hint="eastAsia" w:cs="宋体" w:asciiTheme="minorEastAsia" w:hAnsiTheme="minorEastAsia" w:eastAsiaTheme="minorEastAsia"/>
          <w:b/>
          <w:bCs/>
          <w:sz w:val="28"/>
          <w:szCs w:val="28"/>
        </w:rPr>
        <w:t>项目编号：</w:t>
      </w:r>
      <w:r>
        <w:rPr>
          <w:rFonts w:hint="eastAsia" w:cs="宋体" w:asciiTheme="minorEastAsia" w:hAnsiTheme="minorEastAsia" w:eastAsiaTheme="minorEastAsia"/>
          <w:b/>
          <w:bCs/>
          <w:sz w:val="28"/>
          <w:szCs w:val="28"/>
          <w:lang w:val="en-US" w:eastAsia="zh-CN"/>
        </w:rPr>
        <w:t xml:space="preserve">三财竞磋采购-2025-67 </w:t>
      </w:r>
    </w:p>
    <w:p>
      <w:pPr>
        <w:widowControl/>
        <w:shd w:val="clear" w:color="auto" w:fill="FFFFFF"/>
        <w:spacing w:line="390" w:lineRule="atLeast"/>
        <w:jc w:val="center"/>
        <w:rPr>
          <w:rFonts w:hint="eastAsia"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lang w:val="en-US" w:eastAsia="zh-CN"/>
        </w:rPr>
        <w:t xml:space="preserve">       </w:t>
      </w:r>
      <w:bookmarkStart w:id="1" w:name="OLE_LINK3"/>
      <w:r>
        <w:rPr>
          <w:rFonts w:hint="eastAsia" w:cs="宋体" w:asciiTheme="minorEastAsia" w:hAnsiTheme="minorEastAsia" w:eastAsiaTheme="minorEastAsia"/>
          <w:b/>
          <w:bCs/>
          <w:sz w:val="28"/>
          <w:szCs w:val="28"/>
          <w:lang w:val="en-US" w:eastAsia="zh-CN"/>
        </w:rPr>
        <w:t xml:space="preserve"> SGZ[2025]421-ZC287</w:t>
      </w:r>
    </w:p>
    <w:bookmarkEnd w:id="1"/>
    <w:p>
      <w:pPr>
        <w:spacing w:line="540" w:lineRule="exact"/>
        <w:rPr>
          <w:rFonts w:cs="宋体" w:asciiTheme="minorEastAsia" w:hAnsiTheme="minorEastAsia" w:eastAsiaTheme="minorEastAsia"/>
          <w:sz w:val="28"/>
          <w:szCs w:val="28"/>
        </w:rPr>
      </w:pPr>
    </w:p>
    <w:p>
      <w:pPr>
        <w:spacing w:line="360" w:lineRule="auto"/>
        <w:rPr>
          <w:rFonts w:asciiTheme="minorEastAsia" w:hAnsiTheme="minorEastAsia" w:eastAsiaTheme="minorEastAsia"/>
        </w:rPr>
      </w:pPr>
    </w:p>
    <w:p>
      <w:pPr>
        <w:spacing w:line="360" w:lineRule="auto"/>
        <w:jc w:val="center"/>
        <w:rPr>
          <w:rFonts w:cs="黑体" w:asciiTheme="minorEastAsia" w:hAnsiTheme="minorEastAsia" w:eastAsiaTheme="minorEastAsia"/>
          <w:b/>
          <w:bCs/>
          <w:sz w:val="30"/>
          <w:szCs w:val="30"/>
        </w:rPr>
      </w:pPr>
      <w:r>
        <w:rPr>
          <w:rFonts w:cs="黑体" w:asciiTheme="minorEastAsia" w:hAnsiTheme="minorEastAsia" w:eastAsiaTheme="minorEastAsia"/>
          <w:b/>
          <w:sz w:val="30"/>
          <w:szCs w:val="30"/>
        </w:rPr>
        <w:drawing>
          <wp:inline distT="0" distB="0" distL="0" distR="0">
            <wp:extent cx="2314575" cy="1496695"/>
            <wp:effectExtent l="0" t="0" r="9525"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314575" cy="1497087"/>
                    </a:xfrm>
                    <a:prstGeom prst="rect">
                      <a:avLst/>
                    </a:prstGeom>
                    <a:noFill/>
                    <a:ln w="9525">
                      <a:noFill/>
                      <a:miter lim="800000"/>
                      <a:headEnd/>
                      <a:tailEnd/>
                    </a:ln>
                  </pic:spPr>
                </pic:pic>
              </a:graphicData>
            </a:graphic>
          </wp:inline>
        </w:drawing>
      </w:r>
    </w:p>
    <w:p>
      <w:pPr>
        <w:spacing w:line="540" w:lineRule="exact"/>
        <w:rPr>
          <w:rFonts w:cs="黑体" w:asciiTheme="minorEastAsia" w:hAnsiTheme="minorEastAsia" w:eastAsiaTheme="minorEastAsia"/>
          <w:szCs w:val="21"/>
        </w:rPr>
      </w:pPr>
    </w:p>
    <w:p>
      <w:pPr>
        <w:spacing w:line="360" w:lineRule="auto"/>
        <w:ind w:firstLine="630" w:firstLineChars="300"/>
        <w:jc w:val="center"/>
        <w:rPr>
          <w:rFonts w:cs="黑体" w:asciiTheme="minorEastAsia" w:hAnsiTheme="minorEastAsia" w:eastAsiaTheme="minorEastAsia"/>
          <w:szCs w:val="21"/>
        </w:rPr>
      </w:pPr>
    </w:p>
    <w:p>
      <w:pPr>
        <w:spacing w:line="360" w:lineRule="auto"/>
        <w:ind w:firstLine="1950" w:firstLineChars="650"/>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 购 人：</w:t>
      </w:r>
      <w:r>
        <w:rPr>
          <w:rFonts w:hint="eastAsia" w:cs="宋体" w:asciiTheme="minorEastAsia" w:hAnsiTheme="minorEastAsia" w:eastAsiaTheme="minorEastAsia"/>
          <w:kern w:val="2"/>
          <w:sz w:val="30"/>
          <w:szCs w:val="30"/>
          <w:lang w:val="en-US" w:eastAsia="zh-CN" w:bidi="ar-SA"/>
        </w:rPr>
        <w:t>三门峡黄河天鹅湖湿地保护中心</w:t>
      </w:r>
    </w:p>
    <w:p>
      <w:pPr>
        <w:spacing w:line="360" w:lineRule="auto"/>
        <w:ind w:firstLine="1950" w:firstLineChars="650"/>
        <w:jc w:val="left"/>
        <w:rPr>
          <w:rFonts w:cs="宋体" w:asciiTheme="minorEastAsia" w:hAnsiTheme="minorEastAsia" w:eastAsiaTheme="minorEastAsia"/>
          <w:spacing w:val="10"/>
          <w:sz w:val="30"/>
          <w:szCs w:val="30"/>
        </w:rPr>
      </w:pPr>
      <w:r>
        <w:rPr>
          <w:rFonts w:hint="eastAsia" w:cs="宋体" w:asciiTheme="minorEastAsia" w:hAnsiTheme="minorEastAsia" w:eastAsiaTheme="minorEastAsia"/>
          <w:sz w:val="30"/>
          <w:szCs w:val="30"/>
        </w:rPr>
        <w:t>代理机构：</w:t>
      </w:r>
      <w:r>
        <w:rPr>
          <w:rFonts w:hint="eastAsia" w:cs="宋体" w:asciiTheme="minorEastAsia" w:hAnsiTheme="minorEastAsia" w:eastAsiaTheme="minorEastAsia"/>
          <w:spacing w:val="10"/>
          <w:sz w:val="30"/>
          <w:szCs w:val="30"/>
        </w:rPr>
        <w:t>河南宏信工程管理有限公司</w:t>
      </w:r>
    </w:p>
    <w:p>
      <w:pPr>
        <w:tabs>
          <w:tab w:val="left" w:pos="8820"/>
          <w:tab w:val="left" w:pos="9000"/>
        </w:tabs>
        <w:spacing w:line="360" w:lineRule="auto"/>
        <w:ind w:firstLine="1950" w:firstLineChars="650"/>
        <w:jc w:val="left"/>
        <w:rPr>
          <w:rFonts w:cs="宋体" w:asciiTheme="minorEastAsia" w:hAnsiTheme="minorEastAsia" w:eastAsiaTheme="minorEastAsia"/>
          <w:b/>
          <w:bCs/>
          <w:sz w:val="28"/>
          <w:szCs w:val="28"/>
        </w:rPr>
        <w:sectPr>
          <w:pgSz w:w="11907" w:h="16840"/>
          <w:pgMar w:top="1400" w:right="1418" w:bottom="1089" w:left="1418" w:header="624" w:footer="747" w:gutter="0"/>
          <w:cols w:space="720" w:num="1"/>
          <w:titlePg/>
          <w:docGrid w:type="linesAndChars" w:linePitch="312" w:charSpace="0"/>
        </w:sectPr>
      </w:pPr>
      <w:r>
        <w:rPr>
          <w:rFonts w:hint="eastAsia" w:cs="宋体" w:asciiTheme="minorEastAsia" w:hAnsiTheme="minorEastAsia" w:eastAsiaTheme="minorEastAsia"/>
          <w:sz w:val="30"/>
          <w:szCs w:val="30"/>
        </w:rPr>
        <w:t>日    期：</w:t>
      </w:r>
      <w:r>
        <w:rPr>
          <w:rFonts w:hint="eastAsia" w:cs="宋体" w:asciiTheme="minorEastAsia" w:hAnsiTheme="minorEastAsia" w:eastAsiaTheme="minorEastAsia"/>
          <w:spacing w:val="20"/>
          <w:sz w:val="30"/>
          <w:szCs w:val="30"/>
        </w:rPr>
        <w:t>二零二</w:t>
      </w:r>
      <w:r>
        <w:rPr>
          <w:rFonts w:hint="eastAsia" w:cs="宋体" w:asciiTheme="minorEastAsia" w:hAnsiTheme="minorEastAsia" w:eastAsiaTheme="minorEastAsia"/>
          <w:spacing w:val="20"/>
          <w:sz w:val="30"/>
          <w:szCs w:val="30"/>
          <w:lang w:val="en-US" w:eastAsia="zh-CN"/>
        </w:rPr>
        <w:t>五</w:t>
      </w:r>
      <w:r>
        <w:rPr>
          <w:rFonts w:hint="eastAsia" w:cs="宋体" w:asciiTheme="minorEastAsia" w:hAnsiTheme="minorEastAsia" w:eastAsiaTheme="minorEastAsia"/>
          <w:spacing w:val="20"/>
          <w:sz w:val="30"/>
          <w:szCs w:val="30"/>
        </w:rPr>
        <w:t>年</w:t>
      </w:r>
      <w:r>
        <w:rPr>
          <w:rFonts w:hint="eastAsia" w:cs="宋体" w:asciiTheme="minorEastAsia" w:hAnsiTheme="minorEastAsia" w:eastAsiaTheme="minorEastAsia"/>
          <w:spacing w:val="20"/>
          <w:sz w:val="30"/>
          <w:szCs w:val="30"/>
          <w:lang w:val="en-US" w:eastAsia="zh-CN"/>
        </w:rPr>
        <w:t>九</w:t>
      </w:r>
      <w:r>
        <w:rPr>
          <w:rFonts w:hint="eastAsia" w:cs="宋体" w:asciiTheme="minorEastAsia" w:hAnsiTheme="minorEastAsia" w:eastAsiaTheme="minorEastAsia"/>
          <w:spacing w:val="20"/>
          <w:sz w:val="30"/>
          <w:szCs w:val="30"/>
        </w:rPr>
        <w:t>月</w:t>
      </w:r>
    </w:p>
    <w:p>
      <w:pPr>
        <w:jc w:val="center"/>
        <w:rPr>
          <w:rFonts w:asciiTheme="minorEastAsia" w:hAnsiTheme="minorEastAsia" w:eastAsiaTheme="minorEastAsia"/>
          <w:sz w:val="44"/>
          <w:szCs w:val="44"/>
        </w:rPr>
      </w:pPr>
      <w:r>
        <w:rPr>
          <w:rFonts w:asciiTheme="minorEastAsia" w:hAnsiTheme="minorEastAsia" w:eastAsiaTheme="minorEastAsia"/>
          <w:sz w:val="44"/>
          <w:szCs w:val="44"/>
        </w:rPr>
        <w:t>目</w:t>
      </w:r>
      <w:r>
        <w:rPr>
          <w:rFonts w:hint="eastAsia" w:asciiTheme="minorEastAsia" w:hAnsiTheme="minorEastAsia" w:eastAsiaTheme="minorEastAsia"/>
          <w:sz w:val="44"/>
          <w:szCs w:val="44"/>
        </w:rPr>
        <w:t xml:space="preserve">  </w:t>
      </w:r>
      <w:r>
        <w:rPr>
          <w:rFonts w:asciiTheme="minorEastAsia" w:hAnsiTheme="minorEastAsia" w:eastAsiaTheme="minorEastAsia"/>
          <w:sz w:val="44"/>
          <w:szCs w:val="44"/>
        </w:rPr>
        <w:t>录</w:t>
      </w:r>
    </w:p>
    <w:p>
      <w:pPr>
        <w:pStyle w:val="8"/>
        <w:spacing w:line="480" w:lineRule="auto"/>
        <w:rPr>
          <w:rFonts w:asciiTheme="minorHAnsi" w:hAnsiTheme="minorHAnsi" w:eastAsiaTheme="minorEastAsia" w:cstheme="minorBidi"/>
          <w:b w:val="0"/>
          <w:bCs w:val="0"/>
          <w:caps w:val="0"/>
          <w:color w:val="auto"/>
          <w:szCs w:val="22"/>
        </w:rPr>
      </w:pPr>
      <w:r>
        <w:rPr>
          <w:rFonts w:asciiTheme="minorEastAsia" w:hAnsiTheme="minorEastAsia" w:eastAsiaTheme="minorEastAsia"/>
          <w:kern w:val="0"/>
          <w:sz w:val="40"/>
          <w:szCs w:val="40"/>
        </w:rPr>
        <w:fldChar w:fldCharType="begin"/>
      </w:r>
      <w:r>
        <w:rPr>
          <w:rFonts w:asciiTheme="minorEastAsia" w:hAnsiTheme="minorEastAsia" w:eastAsiaTheme="minorEastAsia"/>
          <w:sz w:val="40"/>
          <w:szCs w:val="40"/>
        </w:rPr>
        <w:instrText xml:space="preserve">TOC \o "1-1" \h \u </w:instrText>
      </w:r>
      <w:r>
        <w:rPr>
          <w:rFonts w:asciiTheme="minorEastAsia" w:hAnsiTheme="minorEastAsia" w:eastAsiaTheme="minorEastAsia"/>
          <w:kern w:val="0"/>
          <w:sz w:val="40"/>
          <w:szCs w:val="40"/>
        </w:rPr>
        <w:fldChar w:fldCharType="separate"/>
      </w:r>
      <w:r>
        <w:fldChar w:fldCharType="begin"/>
      </w:r>
      <w:r>
        <w:instrText xml:space="preserve"> HYPERLINK \l "_Toc100846869" </w:instrText>
      </w:r>
      <w:r>
        <w:fldChar w:fldCharType="separate"/>
      </w:r>
      <w:r>
        <w:rPr>
          <w:rStyle w:val="14"/>
          <w:rFonts w:asciiTheme="minorEastAsia" w:hAnsiTheme="minorEastAsia"/>
        </w:rPr>
        <w:t>第一章 竞争性磋商公告</w:t>
      </w:r>
      <w:r>
        <w:tab/>
      </w:r>
      <w:r>
        <w:fldChar w:fldCharType="begin"/>
      </w:r>
      <w:r>
        <w:instrText xml:space="preserve"> PAGEREF _Toc100846869 \h </w:instrText>
      </w:r>
      <w:r>
        <w:fldChar w:fldCharType="separate"/>
      </w:r>
      <w:r>
        <w:t>2</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"_Toc100846870" </w:instrText>
      </w:r>
      <w:r>
        <w:fldChar w:fldCharType="separate"/>
      </w:r>
      <w:r>
        <w:rPr>
          <w:rStyle w:val="14"/>
          <w:rFonts w:asciiTheme="minorEastAsia" w:hAnsiTheme="minorEastAsia"/>
        </w:rPr>
        <w:t>第二章 响应人须知</w:t>
      </w:r>
      <w:r>
        <w:tab/>
      </w:r>
      <w:r>
        <w:fldChar w:fldCharType="begin"/>
      </w:r>
      <w:r>
        <w:instrText xml:space="preserve"> PAGEREF _Toc100846870 \h </w:instrText>
      </w:r>
      <w:r>
        <w:fldChar w:fldCharType="separate"/>
      </w:r>
      <w:r>
        <w:t>6</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"_Toc100846871" </w:instrText>
      </w:r>
      <w:r>
        <w:fldChar w:fldCharType="separate"/>
      </w:r>
      <w:r>
        <w:rPr>
          <w:rStyle w:val="14"/>
          <w:rFonts w:asciiTheme="minorEastAsia" w:hAnsiTheme="minorEastAsia"/>
        </w:rPr>
        <w:t>第三章  磋商办法</w:t>
      </w:r>
      <w:r>
        <w:tab/>
      </w:r>
      <w:r>
        <w:fldChar w:fldCharType="begin"/>
      </w:r>
      <w:r>
        <w:instrText xml:space="preserve"> PAGEREF _Toc100846871 \h </w:instrText>
      </w:r>
      <w:r>
        <w:fldChar w:fldCharType="separate"/>
      </w:r>
      <w:r>
        <w:t>21</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"_Toc100846872" </w:instrText>
      </w:r>
      <w:r>
        <w:fldChar w:fldCharType="separate"/>
      </w:r>
      <w:r>
        <w:rPr>
          <w:rStyle w:val="14"/>
          <w:rFonts w:asciiTheme="minorEastAsia" w:hAnsiTheme="minorEastAsia"/>
        </w:rPr>
        <w:t>第四章  合同条款及格式</w:t>
      </w:r>
      <w:r>
        <w:tab/>
      </w:r>
      <w:r>
        <w:fldChar w:fldCharType="begin"/>
      </w:r>
      <w:r>
        <w:instrText xml:space="preserve"> PAGEREF _Toc100846872 \h </w:instrText>
      </w:r>
      <w:r>
        <w:fldChar w:fldCharType="separate"/>
      </w:r>
      <w:r>
        <w:t>27</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"_Toc100846873" </w:instrText>
      </w:r>
      <w:r>
        <w:fldChar w:fldCharType="separate"/>
      </w:r>
      <w:r>
        <w:rPr>
          <w:rStyle w:val="14"/>
          <w:rFonts w:asciiTheme="minorEastAsia" w:hAnsiTheme="minorEastAsia"/>
        </w:rPr>
        <w:t>第五章   工程量清单</w:t>
      </w:r>
      <w:r>
        <w:tab/>
      </w:r>
      <w:r>
        <w:fldChar w:fldCharType="begin"/>
      </w:r>
      <w:r>
        <w:instrText xml:space="preserve"> PAGEREF _Toc100846873 \h </w:instrText>
      </w:r>
      <w:r>
        <w:fldChar w:fldCharType="separate"/>
      </w:r>
      <w:r>
        <w:t>38</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"_Toc100846874" </w:instrText>
      </w:r>
      <w:r>
        <w:fldChar w:fldCharType="separate"/>
      </w:r>
      <w:r>
        <w:rPr>
          <w:rStyle w:val="14"/>
          <w:rFonts w:asciiTheme="minorEastAsia" w:hAnsiTheme="minorEastAsia"/>
        </w:rPr>
        <w:t>第六章  技术要求</w:t>
      </w:r>
      <w:r>
        <w:tab/>
      </w:r>
      <w:r>
        <w:fldChar w:fldCharType="begin"/>
      </w:r>
      <w:r>
        <w:instrText xml:space="preserve"> PAGEREF _Toc100846874 \h </w:instrText>
      </w:r>
      <w:r>
        <w:fldChar w:fldCharType="separate"/>
      </w:r>
      <w:r>
        <w:t>39</w:t>
      </w:r>
      <w:r>
        <w:fldChar w:fldCharType="end"/>
      </w:r>
      <w:r>
        <w:fldChar w:fldCharType="end"/>
      </w:r>
    </w:p>
    <w:p>
      <w:pPr>
        <w:pStyle w:val="8"/>
        <w:spacing w:line="480" w:lineRule="auto"/>
        <w:rPr>
          <w:rFonts w:asciiTheme="minorHAnsi" w:hAnsiTheme="minorHAnsi" w:eastAsiaTheme="minorEastAsia" w:cstheme="minorBidi"/>
          <w:b w:val="0"/>
          <w:bCs w:val="0"/>
          <w:caps w:val="0"/>
          <w:color w:val="auto"/>
          <w:szCs w:val="22"/>
        </w:rPr>
      </w:pPr>
      <w:r>
        <w:fldChar w:fldCharType="begin"/>
      </w:r>
      <w:r>
        <w:instrText xml:space="preserve"> HYPERLINK \l "_Toc100846875" </w:instrText>
      </w:r>
      <w:r>
        <w:fldChar w:fldCharType="separate"/>
      </w:r>
      <w:r>
        <w:rPr>
          <w:rStyle w:val="14"/>
          <w:rFonts w:asciiTheme="minorEastAsia" w:hAnsiTheme="minorEastAsia"/>
        </w:rPr>
        <w:t>第七章  响应文件格式</w:t>
      </w:r>
      <w:r>
        <w:tab/>
      </w:r>
      <w:r>
        <w:fldChar w:fldCharType="begin"/>
      </w:r>
      <w:r>
        <w:instrText xml:space="preserve"> PAGEREF _Toc100846875 \h </w:instrText>
      </w:r>
      <w:r>
        <w:fldChar w:fldCharType="separate"/>
      </w:r>
      <w:r>
        <w:t>40</w:t>
      </w:r>
      <w:r>
        <w:fldChar w:fldCharType="end"/>
      </w:r>
      <w:r>
        <w:fldChar w:fldCharType="end"/>
      </w:r>
    </w:p>
    <w:p>
      <w:pPr>
        <w:spacing w:line="480" w:lineRule="auto"/>
        <w:rPr>
          <w:rFonts w:asciiTheme="minorEastAsia" w:hAnsiTheme="minorEastAsia" w:eastAsiaTheme="minorEastAsia"/>
          <w:sz w:val="24"/>
          <w:szCs w:val="28"/>
        </w:rPr>
      </w:pPr>
      <w:r>
        <w:rPr>
          <w:rFonts w:asciiTheme="minorEastAsia" w:hAnsiTheme="minorEastAsia" w:eastAsiaTheme="minorEastAsia"/>
          <w:sz w:val="40"/>
          <w:szCs w:val="40"/>
        </w:rPr>
        <w:fldChar w:fldCharType="end"/>
      </w:r>
    </w:p>
    <w:p>
      <w:pPr>
        <w:tabs>
          <w:tab w:val="left" w:pos="2050"/>
        </w:tabs>
        <w:jc w:val="left"/>
        <w:rPr>
          <w:rFonts w:asciiTheme="minorEastAsia" w:hAnsiTheme="minorEastAsia" w:eastAsiaTheme="minorEastAsia"/>
        </w:rPr>
        <w:sectPr>
          <w:footerReference r:id="rId3" w:type="default"/>
          <w:pgSz w:w="11906" w:h="16838"/>
          <w:pgMar w:top="1440" w:right="1361" w:bottom="1440" w:left="1361" w:header="720" w:footer="720" w:gutter="0"/>
          <w:pgNumType w:start="1"/>
          <w:cols w:space="720" w:num="1"/>
          <w:docGrid w:type="lines" w:linePitch="312" w:charSpace="0"/>
        </w:sectPr>
      </w:pPr>
      <w:r>
        <w:rPr>
          <w:rFonts w:hint="eastAsia" w:asciiTheme="minorEastAsia" w:hAnsiTheme="minorEastAsia" w:eastAsiaTheme="minorEastAsia"/>
        </w:rPr>
        <w:tab/>
      </w:r>
    </w:p>
    <w:p>
      <w:pPr>
        <w:jc w:val="center"/>
        <w:outlineLvl w:val="0"/>
        <w:rPr>
          <w:rFonts w:cs="宋体" w:asciiTheme="minorEastAsia" w:hAnsiTheme="minorEastAsia" w:eastAsiaTheme="minorEastAsia"/>
          <w:b/>
          <w:bCs/>
          <w:kern w:val="0"/>
          <w:sz w:val="30"/>
          <w:szCs w:val="30"/>
        </w:rPr>
      </w:pPr>
      <w:bookmarkStart w:id="2" w:name="_Toc100846869"/>
      <w:r>
        <w:rPr>
          <w:rFonts w:hint="eastAsia" w:asciiTheme="minorEastAsia" w:hAnsiTheme="minorEastAsia" w:eastAsiaTheme="minorEastAsia"/>
          <w:b/>
          <w:bCs/>
          <w:sz w:val="30"/>
          <w:szCs w:val="30"/>
        </w:rPr>
        <w:t>第一章</w:t>
      </w:r>
      <w:r>
        <w:rPr>
          <w:rFonts w:asciiTheme="minorEastAsia" w:hAnsiTheme="minorEastAsia" w:eastAsiaTheme="minorEastAsia"/>
          <w:b/>
          <w:bCs/>
          <w:sz w:val="30"/>
          <w:szCs w:val="30"/>
        </w:rPr>
        <w:t xml:space="preserve"> </w:t>
      </w:r>
      <w:bookmarkStart w:id="3" w:name="_Toc10008"/>
      <w:bookmarkStart w:id="4" w:name="_Toc25373"/>
      <w:r>
        <w:rPr>
          <w:rFonts w:hint="eastAsia" w:asciiTheme="minorEastAsia" w:hAnsiTheme="minorEastAsia" w:eastAsiaTheme="minorEastAsia"/>
          <w:b/>
          <w:bCs/>
          <w:sz w:val="30"/>
          <w:szCs w:val="30"/>
        </w:rPr>
        <w:t>竞争性磋商公告</w:t>
      </w:r>
      <w:bookmarkEnd w:id="2"/>
      <w:bookmarkEnd w:id="3"/>
      <w:bookmarkEnd w:id="4"/>
    </w:p>
    <w:p>
      <w:pPr>
        <w:spacing w:line="480" w:lineRule="exact"/>
        <w:ind w:firstLine="480" w:firstLineChars="200"/>
        <w:jc w:val="left"/>
        <w:rPr>
          <w:rFonts w:cs="宋体" w:asciiTheme="minorEastAsia" w:hAnsiTheme="minorEastAsia" w:eastAsiaTheme="minorEastAsia"/>
          <w:kern w:val="0"/>
          <w:sz w:val="24"/>
          <w:szCs w:val="24"/>
        </w:rPr>
      </w:pPr>
      <w:bookmarkStart w:id="5" w:name="_Toc5191"/>
      <w:bookmarkStart w:id="6" w:name="_Toc3672"/>
      <w:r>
        <w:rPr>
          <w:rFonts w:hint="eastAsia" w:cs="宋体" w:asciiTheme="minorEastAsia" w:hAnsiTheme="minorEastAsia" w:eastAsiaTheme="minorEastAsia"/>
          <w:kern w:val="0"/>
          <w:sz w:val="24"/>
          <w:szCs w:val="24"/>
        </w:rPr>
        <w:t xml:space="preserve">项目概况: </w:t>
      </w:r>
    </w:p>
    <w:p>
      <w:pPr>
        <w:spacing w:line="480" w:lineRule="exact"/>
        <w:ind w:firstLine="480" w:firstLineChars="200"/>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kern w:val="0"/>
          <w:sz w:val="24"/>
          <w:szCs w:val="24"/>
          <w:lang w:eastAsia="zh-CN"/>
        </w:rPr>
        <w:t>三门峡黄河天鹅湖湿地保护中心天鹅湖湿地公园青龙坝道路改造工程</w:t>
      </w:r>
      <w:r>
        <w:rPr>
          <w:rFonts w:hint="eastAsia" w:cs="宋体" w:asciiTheme="minorEastAsia" w:hAnsiTheme="minorEastAsia" w:eastAsiaTheme="minorEastAsia"/>
          <w:kern w:val="0"/>
          <w:sz w:val="24"/>
          <w:szCs w:val="24"/>
        </w:rPr>
        <w:t>的潜在投标人应在三门峡市公共资源交易中心网（网址：http://gzjy.smx.gov.cn/）获取磋商文件，并于</w:t>
      </w:r>
      <w:r>
        <w:rPr>
          <w:rFonts w:hint="eastAsia" w:cs="宋体" w:asciiTheme="minorEastAsia" w:hAnsiTheme="minorEastAsia" w:eastAsiaTheme="minorEastAsia"/>
          <w:color w:val="auto"/>
          <w:kern w:val="0"/>
          <w:sz w:val="24"/>
          <w:szCs w:val="24"/>
        </w:rPr>
        <w:t>202</w:t>
      </w:r>
      <w:r>
        <w:rPr>
          <w:rFonts w:hint="eastAsia" w:cs="宋体" w:asciiTheme="minorEastAsia" w:hAnsiTheme="minorEastAsia" w:eastAsiaTheme="minorEastAsia"/>
          <w:color w:val="auto"/>
          <w:kern w:val="0"/>
          <w:sz w:val="24"/>
          <w:szCs w:val="24"/>
          <w:lang w:val="en-US" w:eastAsia="zh-CN"/>
        </w:rPr>
        <w:t>5</w:t>
      </w:r>
      <w:r>
        <w:rPr>
          <w:rFonts w:hint="eastAsia" w:cs="宋体" w:asciiTheme="minorEastAsia" w:hAnsiTheme="minorEastAsia" w:eastAsiaTheme="minorEastAsia"/>
          <w:color w:val="auto"/>
          <w:kern w:val="0"/>
          <w:sz w:val="24"/>
          <w:szCs w:val="24"/>
        </w:rPr>
        <w:t>年</w:t>
      </w:r>
      <w:r>
        <w:rPr>
          <w:rFonts w:hint="eastAsia" w:cs="宋体" w:asciiTheme="minorEastAsia" w:hAnsiTheme="minorEastAsia" w:eastAsiaTheme="minorEastAsia"/>
          <w:color w:val="auto"/>
          <w:kern w:val="0"/>
          <w:sz w:val="24"/>
          <w:szCs w:val="24"/>
          <w:lang w:val="en-US" w:eastAsia="zh-CN"/>
        </w:rPr>
        <w:t>10月15日09时00分</w:t>
      </w:r>
      <w:r>
        <w:rPr>
          <w:rFonts w:hint="eastAsia" w:cs="宋体" w:asciiTheme="minorEastAsia" w:hAnsiTheme="minorEastAsia" w:eastAsiaTheme="minorEastAsia"/>
          <w:color w:val="auto"/>
          <w:kern w:val="0"/>
          <w:sz w:val="24"/>
          <w:szCs w:val="24"/>
        </w:rPr>
        <w:t>（北京时间）前递交投标文件。</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一、项目基本情况：</w:t>
      </w:r>
    </w:p>
    <w:p>
      <w:pPr>
        <w:spacing w:line="480" w:lineRule="exact"/>
        <w:ind w:firstLine="480" w:firstLineChars="200"/>
        <w:jc w:val="left"/>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rPr>
        <w:t>1、项目编号：三财竞磋采购-2025-67</w:t>
      </w:r>
      <w:r>
        <w:rPr>
          <w:rFonts w:hint="eastAsia" w:cs="宋体" w:asciiTheme="minorEastAsia" w:hAnsiTheme="minorEastAsia" w:eastAsiaTheme="minorEastAsia"/>
          <w:color w:val="auto"/>
          <w:kern w:val="0"/>
          <w:sz w:val="24"/>
          <w:szCs w:val="24"/>
          <w:lang w:val="en-US" w:eastAsia="zh-CN"/>
        </w:rPr>
        <w:t xml:space="preserve">  SGZ[2025]421-ZC287</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2、项目名称：</w:t>
      </w:r>
      <w:r>
        <w:rPr>
          <w:rFonts w:hint="eastAsia" w:cs="宋体" w:asciiTheme="minorEastAsia" w:hAnsiTheme="minorEastAsia" w:eastAsiaTheme="minorEastAsia"/>
          <w:kern w:val="0"/>
          <w:sz w:val="24"/>
          <w:szCs w:val="24"/>
          <w:lang w:eastAsia="zh-CN"/>
        </w:rPr>
        <w:t>三门峡黄河天鹅湖湿地保护中心天鹅湖湿地公园青龙坝道路改造工程</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3、采购方式：竞争性磋商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4、预算金额：</w:t>
      </w:r>
      <w:r>
        <w:rPr>
          <w:rFonts w:hint="eastAsia" w:ascii="宋体" w:hAnsi="宋体" w:cs="宋体" w:eastAsiaTheme="minorEastAsia"/>
          <w:color w:val="auto"/>
          <w:kern w:val="0"/>
          <w:sz w:val="24"/>
          <w:szCs w:val="24"/>
          <w:lang w:eastAsia="zh-CN"/>
        </w:rPr>
        <w:t>1149435.83</w:t>
      </w:r>
      <w:r>
        <w:rPr>
          <w:rFonts w:hint="eastAsia" w:cs="宋体" w:asciiTheme="minorEastAsia" w:hAnsiTheme="minorEastAsia" w:eastAsiaTheme="minorEastAsia"/>
          <w:kern w:val="0"/>
          <w:sz w:val="24"/>
          <w:szCs w:val="24"/>
        </w:rPr>
        <w:t>元</w:t>
      </w:r>
    </w:p>
    <w:p>
      <w:pPr>
        <w:spacing w:line="480" w:lineRule="exact"/>
        <w:ind w:firstLine="849" w:firstLineChars="354"/>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最高限价：</w:t>
      </w:r>
      <w:r>
        <w:rPr>
          <w:rFonts w:hint="eastAsia" w:ascii="宋体" w:hAnsi="宋体" w:cs="宋体" w:eastAsiaTheme="minorEastAsia"/>
          <w:color w:val="auto"/>
          <w:kern w:val="0"/>
          <w:sz w:val="24"/>
          <w:szCs w:val="24"/>
          <w:lang w:eastAsia="zh-CN"/>
        </w:rPr>
        <w:t>1149435.83</w:t>
      </w:r>
      <w:r>
        <w:rPr>
          <w:rFonts w:hint="eastAsia" w:cs="宋体" w:asciiTheme="minorEastAsia" w:hAnsiTheme="minorEastAsia" w:eastAsiaTheme="minorEastAsia"/>
          <w:kern w:val="0"/>
          <w:sz w:val="24"/>
          <w:szCs w:val="24"/>
        </w:rPr>
        <w:t>元</w:t>
      </w:r>
    </w:p>
    <w:tbl>
      <w:tblPr>
        <w:tblStyle w:val="11"/>
        <w:tblW w:w="11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76"/>
        <w:gridCol w:w="2687"/>
        <w:gridCol w:w="269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shd w:val="clear" w:color="auto" w:fill="auto"/>
            <w:noWrap/>
            <w:vAlign w:val="center"/>
          </w:tcPr>
          <w:p>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776" w:type="dxa"/>
            <w:shd w:val="clear" w:color="auto" w:fill="auto"/>
            <w:noWrap/>
            <w:vAlign w:val="center"/>
          </w:tcPr>
          <w:p>
            <w:pPr>
              <w:spacing w:line="480" w:lineRule="exact"/>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包号</w:t>
            </w:r>
          </w:p>
        </w:tc>
        <w:tc>
          <w:tcPr>
            <w:tcW w:w="2687" w:type="dxa"/>
            <w:shd w:val="clear" w:color="auto" w:fill="auto"/>
            <w:noWrap/>
            <w:vAlign w:val="center"/>
          </w:tcPr>
          <w:p>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包名称</w:t>
            </w:r>
          </w:p>
        </w:tc>
        <w:tc>
          <w:tcPr>
            <w:tcW w:w="2699" w:type="dxa"/>
            <w:shd w:val="clear" w:color="auto" w:fill="auto"/>
            <w:noWrap/>
            <w:vAlign w:val="center"/>
          </w:tcPr>
          <w:p>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包预算（元）</w:t>
            </w:r>
          </w:p>
        </w:tc>
        <w:tc>
          <w:tcPr>
            <w:tcW w:w="2977" w:type="dxa"/>
            <w:shd w:val="clear" w:color="auto" w:fill="auto"/>
            <w:noWrap/>
            <w:vAlign w:val="center"/>
          </w:tcPr>
          <w:p>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shd w:val="clear" w:color="auto" w:fill="auto"/>
            <w:noWrap/>
            <w:vAlign w:val="center"/>
          </w:tcPr>
          <w:p>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776" w:type="dxa"/>
            <w:shd w:val="clear" w:color="auto" w:fill="auto"/>
            <w:noWrap/>
            <w:vAlign w:val="center"/>
          </w:tcPr>
          <w:p>
            <w:pPr>
              <w:spacing w:line="480" w:lineRule="exact"/>
              <w:jc w:val="center"/>
              <w:rPr>
                <w:rFonts w:hint="eastAsia" w:cs="宋体" w:asciiTheme="minorEastAsia" w:hAnsiTheme="minorEastAsia" w:eastAsiaTheme="minorEastAsia"/>
                <w:color w:val="auto"/>
                <w:kern w:val="0"/>
                <w:sz w:val="24"/>
                <w:szCs w:val="24"/>
              </w:rPr>
            </w:pPr>
          </w:p>
          <w:p>
            <w:pPr>
              <w:spacing w:line="480" w:lineRule="exact"/>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 xml:space="preserve"> </w:t>
            </w:r>
            <w:r>
              <w:rPr>
                <w:rFonts w:hint="eastAsia" w:cs="宋体" w:asciiTheme="minorEastAsia" w:hAnsiTheme="minorEastAsia" w:eastAsiaTheme="minorEastAsia"/>
                <w:color w:val="auto"/>
                <w:kern w:val="0"/>
                <w:sz w:val="24"/>
                <w:szCs w:val="24"/>
              </w:rPr>
              <w:t>-1</w:t>
            </w:r>
          </w:p>
        </w:tc>
        <w:tc>
          <w:tcPr>
            <w:tcW w:w="2687" w:type="dxa"/>
            <w:shd w:val="clear" w:color="auto" w:fill="auto"/>
            <w:noWrap/>
            <w:vAlign w:val="center"/>
          </w:tcPr>
          <w:p>
            <w:pPr>
              <w:spacing w:line="48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三门峡黄河天鹅湖湿地保护中心天鹅湖湿地公园青龙坝道路改造工程</w:t>
            </w:r>
          </w:p>
        </w:tc>
        <w:tc>
          <w:tcPr>
            <w:tcW w:w="2699" w:type="dxa"/>
            <w:shd w:val="clear" w:color="auto" w:fill="auto"/>
            <w:noWrap/>
            <w:vAlign w:val="center"/>
          </w:tcPr>
          <w:p>
            <w:pPr>
              <w:spacing w:line="480" w:lineRule="exact"/>
              <w:jc w:val="center"/>
              <w:rPr>
                <w:rFonts w:hint="eastAsia" w:cs="宋体" w:asciiTheme="minorEastAsia" w:hAnsiTheme="minorEastAsia" w:eastAsiaTheme="minorEastAsia"/>
                <w:kern w:val="0"/>
                <w:sz w:val="24"/>
                <w:szCs w:val="24"/>
                <w:lang w:eastAsia="zh-CN"/>
              </w:rPr>
            </w:pPr>
            <w:r>
              <w:rPr>
                <w:rFonts w:hint="eastAsia" w:ascii="宋体" w:hAnsi="宋体" w:cs="宋体" w:eastAsiaTheme="minorEastAsia"/>
                <w:color w:val="auto"/>
                <w:kern w:val="0"/>
                <w:sz w:val="24"/>
                <w:szCs w:val="24"/>
                <w:lang w:eastAsia="zh-CN"/>
              </w:rPr>
              <w:t>1149435.83</w:t>
            </w:r>
          </w:p>
        </w:tc>
        <w:tc>
          <w:tcPr>
            <w:tcW w:w="2977" w:type="dxa"/>
            <w:shd w:val="clear" w:color="auto" w:fill="auto"/>
            <w:noWrap/>
            <w:vAlign w:val="center"/>
          </w:tcPr>
          <w:p>
            <w:pPr>
              <w:spacing w:line="480" w:lineRule="exact"/>
              <w:jc w:val="center"/>
              <w:rPr>
                <w:rFonts w:hint="eastAsia" w:cs="宋体" w:asciiTheme="minorEastAsia" w:hAnsiTheme="minorEastAsia" w:eastAsiaTheme="minorEastAsia"/>
                <w:kern w:val="0"/>
                <w:sz w:val="24"/>
                <w:szCs w:val="24"/>
                <w:lang w:val="en-US" w:eastAsia="zh-CN"/>
              </w:rPr>
            </w:pPr>
            <w:r>
              <w:rPr>
                <w:rFonts w:hint="eastAsia" w:ascii="宋体" w:hAnsi="宋体" w:cs="宋体" w:eastAsiaTheme="minorEastAsia"/>
                <w:color w:val="auto"/>
                <w:kern w:val="0"/>
                <w:sz w:val="24"/>
                <w:szCs w:val="24"/>
                <w:lang w:eastAsia="zh-CN"/>
              </w:rPr>
              <w:t>1149435.83</w:t>
            </w:r>
          </w:p>
        </w:tc>
      </w:tr>
    </w:tbl>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5、采购需求（包括但不限于标的的名称、数量、简要技术需求或服务要求等）：</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5.1、项目内容及概况：</w:t>
      </w:r>
      <w:r>
        <w:rPr>
          <w:rFonts w:hint="eastAsia" w:cs="宋体" w:asciiTheme="minorEastAsia" w:hAnsiTheme="minorEastAsia" w:eastAsiaTheme="minorEastAsia"/>
          <w:kern w:val="0"/>
          <w:sz w:val="24"/>
          <w:szCs w:val="24"/>
          <w:lang w:val="en-US" w:eastAsia="zh-CN" w:bidi="ar-SA"/>
        </w:rPr>
        <w:t>本工程为三门峡黄河天鹅湖湿地保护中心天鹅湖湿地公园青龙坝道路改造工程。项目主要包括：道路改造、路灯基础、栏杆、绿化等工程；（详见工程量清单）</w:t>
      </w:r>
      <w:r>
        <w:rPr>
          <w:rFonts w:hint="eastAsia" w:cs="宋体" w:asciiTheme="minorEastAsia" w:hAnsiTheme="minorEastAsia" w:eastAsiaTheme="minorEastAsia"/>
          <w:kern w:val="0"/>
          <w:sz w:val="24"/>
          <w:szCs w:val="24"/>
        </w:rPr>
        <w:t>。</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5.2、资金来源：财政资金，已落实</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5.3、建设地点：</w:t>
      </w:r>
      <w:r>
        <w:rPr>
          <w:rFonts w:hint="eastAsia" w:cs="宋体" w:asciiTheme="minorEastAsia" w:hAnsiTheme="minorEastAsia" w:eastAsiaTheme="minorEastAsia"/>
          <w:kern w:val="0"/>
          <w:sz w:val="24"/>
          <w:szCs w:val="24"/>
          <w:lang w:val="en-US" w:eastAsia="zh-CN"/>
        </w:rPr>
        <w:t>三门峡市</w:t>
      </w:r>
    </w:p>
    <w:p>
      <w:pPr>
        <w:spacing w:line="4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5.4、计划工期：</w:t>
      </w:r>
      <w:r>
        <w:rPr>
          <w:rFonts w:hint="eastAsia" w:cs="宋体" w:asciiTheme="minorEastAsia" w:hAnsiTheme="minorEastAsia" w:eastAsiaTheme="minorEastAsia"/>
          <w:kern w:val="0"/>
          <w:sz w:val="24"/>
          <w:szCs w:val="24"/>
          <w:lang w:val="en-US" w:eastAsia="zh-CN"/>
        </w:rPr>
        <w:t>15日历天</w:t>
      </w:r>
      <w:r>
        <w:rPr>
          <w:rFonts w:hint="eastAsia" w:cs="宋体" w:asciiTheme="minorEastAsia" w:hAnsiTheme="minorEastAsia" w:eastAsiaTheme="minorEastAsia"/>
          <w:kern w:val="0"/>
          <w:sz w:val="24"/>
          <w:szCs w:val="24"/>
          <w:lang w:eastAsia="zh-CN"/>
        </w:rPr>
        <w:t>；</w:t>
      </w:r>
    </w:p>
    <w:p>
      <w:pPr>
        <w:spacing w:line="480" w:lineRule="exact"/>
        <w:ind w:left="1199" w:leftChars="228" w:hanging="720" w:hangingChars="3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5.5、质量要求：达到国家现行建设工程质量验收规范合格标准</w:t>
      </w:r>
      <w:r>
        <w:rPr>
          <w:rFonts w:hint="eastAsia" w:cs="宋体" w:asciiTheme="minorEastAsia" w:hAnsiTheme="minorEastAsia" w:eastAsiaTheme="minorEastAsia"/>
          <w:kern w:val="0"/>
          <w:sz w:val="24"/>
          <w:szCs w:val="24"/>
          <w:lang w:eastAsia="zh-CN"/>
        </w:rPr>
        <w:t>；</w:t>
      </w:r>
    </w:p>
    <w:p>
      <w:pPr>
        <w:spacing w:line="480" w:lineRule="exact"/>
        <w:ind w:left="1199" w:leftChars="228" w:hanging="720" w:hangingChars="300"/>
        <w:jc w:val="left"/>
        <w:rPr>
          <w:rFonts w:hint="default" w:ascii="宋体" w:hAnsi="宋体" w:eastAsia="宋体" w:cs="宋体"/>
          <w:kern w:val="0"/>
          <w:sz w:val="24"/>
          <w:shd w:val="clear" w:color="auto" w:fill="FFFFFF" w:themeFill="background1"/>
          <w:lang w:val="en-US" w:eastAsia="zh-CN"/>
        </w:rPr>
      </w:pPr>
      <w:r>
        <w:rPr>
          <w:rFonts w:hint="eastAsia" w:ascii="宋体" w:hAnsi="宋体" w:cs="宋体"/>
          <w:kern w:val="0"/>
          <w:sz w:val="24"/>
          <w:shd w:val="clear" w:color="auto" w:fill="FFFFFF" w:themeFill="background1"/>
          <w:lang w:val="en-US" w:eastAsia="zh-CN"/>
        </w:rPr>
        <w:t>5.6、交货地点：</w:t>
      </w:r>
      <w:r>
        <w:rPr>
          <w:rFonts w:hint="eastAsia" w:ascii="宋体" w:hAnsi="宋体" w:cs="宋体"/>
          <w:kern w:val="0"/>
          <w:sz w:val="24"/>
          <w:shd w:val="clear" w:color="auto" w:fill="FFFFFF" w:themeFill="background1"/>
        </w:rPr>
        <w:t>采购人指定地点</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rPr>
        <w:t>、磋商范围：磋商文件及工程量清单范围内的全部内容</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lang w:val="en-US" w:eastAsia="zh-CN"/>
        </w:rPr>
        <w:t>8</w:t>
      </w:r>
      <w:r>
        <w:rPr>
          <w:rFonts w:hint="eastAsia" w:cs="宋体" w:asciiTheme="minorEastAsia" w:hAnsiTheme="minorEastAsia" w:eastAsiaTheme="minorEastAsia"/>
          <w:kern w:val="0"/>
          <w:sz w:val="24"/>
          <w:szCs w:val="24"/>
        </w:rPr>
        <w:t>、标段划分：本项目划分</w:t>
      </w:r>
      <w:r>
        <w:rPr>
          <w:rFonts w:hint="eastAsia" w:cs="宋体" w:asciiTheme="minorEastAsia" w:hAnsiTheme="minorEastAsia" w:eastAsiaTheme="minorEastAsia"/>
          <w:kern w:val="0"/>
          <w:sz w:val="24"/>
          <w:szCs w:val="24"/>
          <w:lang w:val="en-US" w:eastAsia="zh-CN"/>
        </w:rPr>
        <w:t>一</w:t>
      </w:r>
      <w:r>
        <w:rPr>
          <w:rFonts w:hint="eastAsia" w:cs="宋体" w:asciiTheme="minorEastAsia" w:hAnsiTheme="minorEastAsia" w:eastAsiaTheme="minorEastAsia"/>
          <w:kern w:val="0"/>
          <w:sz w:val="24"/>
          <w:szCs w:val="24"/>
        </w:rPr>
        <w:t>个标段</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6、合同履约期限：已签订合同为准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7、本项目是否接受联合体投标：否</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8、是否接受进口产品：否</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二、申请人资格要求：</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1、满足《中华人民共和国政府采购法》第二十二条规定；</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2、落实政府采购政策满足的资格要求：</w:t>
      </w:r>
      <w:r>
        <w:rPr>
          <w:rFonts w:hint="eastAsia" w:cs="宋体" w:asciiTheme="minorEastAsia" w:hAnsiTheme="minorEastAsia" w:eastAsiaTheme="minorEastAsia"/>
          <w:kern w:val="0"/>
          <w:sz w:val="24"/>
          <w:szCs w:val="24"/>
          <w:lang w:val="en-US" w:eastAsia="zh-CN" w:bidi="ar-SA"/>
        </w:rPr>
        <w:t>本项目执行促进中小型企业发展政策（监狱企业、残疾人福利性企业视同小微企业）、强制采购节能产品、优先采购节能环保产品等政府采购政策。</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3、本项目的特定资格要求：</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响应人须具备独立法人资格，具有有效的营业执照；</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lang w:val="en-US" w:eastAsia="zh-CN"/>
        </w:rPr>
        <w:t>2</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响应人须具备</w:t>
      </w:r>
      <w:r>
        <w:rPr>
          <w:rFonts w:hint="eastAsia" w:cs="宋体" w:asciiTheme="minorEastAsia" w:hAnsiTheme="minorEastAsia" w:eastAsiaTheme="minorEastAsia"/>
          <w:kern w:val="0"/>
          <w:sz w:val="24"/>
          <w:szCs w:val="24"/>
          <w:lang w:val="en-US" w:eastAsia="zh-CN"/>
        </w:rPr>
        <w:t>市政公用</w:t>
      </w:r>
      <w:r>
        <w:rPr>
          <w:rFonts w:hint="eastAsia" w:cs="宋体" w:asciiTheme="minorEastAsia" w:hAnsiTheme="minorEastAsia" w:eastAsiaTheme="minorEastAsia"/>
          <w:kern w:val="0"/>
          <w:sz w:val="24"/>
          <w:szCs w:val="24"/>
        </w:rPr>
        <w:t>工程施工总承包叁级（含）以上资质，且具有有效的安全生产许可证；</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拟派项目经理须具备</w:t>
      </w:r>
      <w:r>
        <w:rPr>
          <w:rFonts w:hint="eastAsia" w:cs="宋体" w:asciiTheme="minorEastAsia" w:hAnsiTheme="minorEastAsia" w:eastAsiaTheme="minorEastAsia"/>
          <w:kern w:val="0"/>
          <w:sz w:val="24"/>
          <w:szCs w:val="24"/>
          <w:lang w:val="en-US" w:eastAsia="zh-CN"/>
        </w:rPr>
        <w:t>市政公用</w:t>
      </w:r>
      <w:r>
        <w:rPr>
          <w:rFonts w:hint="eastAsia" w:cs="宋体" w:asciiTheme="minorEastAsia" w:hAnsiTheme="minorEastAsia" w:eastAsiaTheme="minorEastAsia"/>
          <w:kern w:val="0"/>
          <w:sz w:val="24"/>
          <w:szCs w:val="24"/>
        </w:rPr>
        <w:t>工程专业贰级及以上注册建造师证书和安全生产考核合格证书，且未担任其他在建工程项目的项目经理。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rPr>
        <w:t>参加政府采购活动近三年内，在经营活动中没有重大违法记录，须提供承诺书，格式自拟；</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公告发布以后开标时间以前并提供网站查询网页截图，查询结果清晰可见)</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本项目不接受联合体磋商，提供非联合体承诺，格式自拟；</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本项目实行资格后审，资格审查的具体要求见竞争性磋商文件。</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三、获取磋商文件：</w:t>
      </w:r>
    </w:p>
    <w:p>
      <w:pPr>
        <w:spacing w:line="480" w:lineRule="exact"/>
        <w:ind w:firstLine="480" w:firstLineChars="200"/>
        <w:jc w:val="left"/>
        <w:rPr>
          <w:rFonts w:hint="default"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rPr>
        <w:t>1、</w:t>
      </w:r>
      <w:r>
        <w:rPr>
          <w:rFonts w:cs="宋体" w:asciiTheme="minorEastAsia" w:hAnsiTheme="minorEastAsia" w:eastAsiaTheme="minorEastAsia"/>
          <w:color w:val="auto"/>
          <w:kern w:val="0"/>
          <w:sz w:val="24"/>
          <w:szCs w:val="24"/>
        </w:rPr>
        <w:t>时间</w:t>
      </w:r>
      <w:r>
        <w:rPr>
          <w:rFonts w:hint="eastAsia" w:cs="宋体" w:asciiTheme="minorEastAsia" w:hAnsiTheme="minorEastAsia" w:eastAsiaTheme="minorEastAsia"/>
          <w:color w:val="auto"/>
          <w:kern w:val="0"/>
          <w:sz w:val="24"/>
          <w:szCs w:val="24"/>
        </w:rPr>
        <w:t>：202</w:t>
      </w:r>
      <w:r>
        <w:rPr>
          <w:rFonts w:hint="eastAsia" w:cs="宋体" w:asciiTheme="minorEastAsia" w:hAnsiTheme="minorEastAsia" w:eastAsiaTheme="minorEastAsia"/>
          <w:color w:val="auto"/>
          <w:kern w:val="0"/>
          <w:sz w:val="24"/>
          <w:szCs w:val="24"/>
          <w:lang w:val="en-US" w:eastAsia="zh-CN"/>
        </w:rPr>
        <w:t>5</w:t>
      </w:r>
      <w:r>
        <w:rPr>
          <w:rFonts w:hint="eastAsia" w:cs="宋体" w:asciiTheme="minorEastAsia" w:hAnsiTheme="minorEastAsia" w:eastAsiaTheme="minorEastAsia"/>
          <w:color w:val="auto"/>
          <w:kern w:val="0"/>
          <w:sz w:val="24"/>
          <w:szCs w:val="24"/>
        </w:rPr>
        <w:t>年</w:t>
      </w:r>
      <w:r>
        <w:rPr>
          <w:rFonts w:hint="eastAsia" w:cs="宋体" w:asciiTheme="minorEastAsia" w:hAnsiTheme="minorEastAsia" w:eastAsiaTheme="minorEastAsia"/>
          <w:color w:val="auto"/>
          <w:kern w:val="0"/>
          <w:sz w:val="24"/>
          <w:szCs w:val="24"/>
          <w:lang w:val="en-US" w:eastAsia="zh-CN"/>
        </w:rPr>
        <w:t>09月30日</w:t>
      </w:r>
      <w:r>
        <w:rPr>
          <w:rFonts w:hint="eastAsia" w:cs="宋体" w:asciiTheme="minorEastAsia" w:hAnsiTheme="minorEastAsia" w:eastAsiaTheme="minorEastAsia"/>
          <w:color w:val="auto"/>
          <w:kern w:val="0"/>
          <w:sz w:val="24"/>
          <w:szCs w:val="24"/>
        </w:rPr>
        <w:t>至202</w:t>
      </w:r>
      <w:r>
        <w:rPr>
          <w:rFonts w:hint="eastAsia" w:cs="宋体" w:asciiTheme="minorEastAsia" w:hAnsiTheme="minorEastAsia" w:eastAsiaTheme="minorEastAsia"/>
          <w:color w:val="auto"/>
          <w:kern w:val="0"/>
          <w:sz w:val="24"/>
          <w:szCs w:val="24"/>
          <w:lang w:val="en-US" w:eastAsia="zh-CN"/>
        </w:rPr>
        <w:t>5</w:t>
      </w:r>
      <w:r>
        <w:rPr>
          <w:rFonts w:hint="eastAsia" w:cs="宋体" w:asciiTheme="minorEastAsia" w:hAnsiTheme="minorEastAsia" w:eastAsiaTheme="minorEastAsia"/>
          <w:color w:val="auto"/>
          <w:kern w:val="0"/>
          <w:sz w:val="24"/>
          <w:szCs w:val="24"/>
        </w:rPr>
        <w:t>年</w:t>
      </w:r>
      <w:r>
        <w:rPr>
          <w:rFonts w:hint="eastAsia" w:cs="宋体" w:asciiTheme="minorEastAsia" w:hAnsiTheme="minorEastAsia" w:eastAsiaTheme="minorEastAsia"/>
          <w:color w:val="auto"/>
          <w:kern w:val="0"/>
          <w:sz w:val="24"/>
          <w:szCs w:val="24"/>
          <w:lang w:val="en-US" w:eastAsia="zh-CN"/>
        </w:rPr>
        <w:t>10月15日09时00分（北京时间）</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2、地点：三门峡市公共资源交易中心网（网址：http://gzjy.smx.gov.cn/）</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4、售价：0元</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四、投标保证金</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根据《河南省财政厅关于优化政府采购营商环境有关问题的通知》（豫财购【2020】4号）第6条的规定，不收取投标保证金。</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五、投标截止时间及地点：</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时间</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color w:val="auto"/>
          <w:kern w:val="0"/>
          <w:sz w:val="24"/>
          <w:szCs w:val="24"/>
          <w:lang w:eastAsia="zh-CN"/>
        </w:rPr>
        <w:t>2025年10月15日09时00分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2、地点：三门峡市公共资源交易中心开标区</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六、开标时间及地点：</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1、时间：</w:t>
      </w:r>
      <w:r>
        <w:rPr>
          <w:rFonts w:hint="eastAsia" w:cs="宋体" w:asciiTheme="minorEastAsia" w:hAnsiTheme="minorEastAsia" w:eastAsiaTheme="minorEastAsia"/>
          <w:color w:val="auto"/>
          <w:kern w:val="0"/>
          <w:sz w:val="24"/>
          <w:szCs w:val="24"/>
          <w:lang w:eastAsia="zh-CN"/>
        </w:rPr>
        <w:t>2025年10月15日09时00分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2、地点：三门峡市公共资源交易中心开标区</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七、发布公告的媒介及公告期限：</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本次竞争性磋商公告同时在《河南省电子招标投标公共服务平台》、《河南省政府采购网》和《三门峡市公共资源交易中心网》等媒体公开发布。</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八、其他补充事宜</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1、响应人应仔细阅读操作手册，在本公告中要求的截止时间前完成竞争性磋商响应文件的上传工作，并充分考虑人为操作等因素，因响应人操作不当造成的无法投标等一切后果，由供应商自行承担。</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2、磋商所发生一切费用由各响应人自行承担，并承担相应的风险和责任。</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3、本项目不组织响应人踏勘现场。</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4、本项目无论中标与否，均不退还响应文件。</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5、本项目资格评审和业绩以投标文件为准，投标人可使用电子营业执照。</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（1）资格评（预）审部分：资格评（预）审以投标文件为准，其上传资料真实性由投标人自行承担，同时，投标人要完善主体库。</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（2）评标打分部分：评标打分部分仍按照100分制原则进行，涉及到资格审查、企业荣誉、人员业绩、企业业绩等计分部分时，以投标单位自行上传到投标文件中的相应内容为准。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温馨提示：本项目为电子化、无纸化交易项目，开标时不再接受任何纸质资料，为保证您能投标成功，请需仔细阅读竞争性磋商文件和三门峡市公共资源交易中心官网业务办理指南。</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九、凡对本次磋商提出询问，请按照以下方式联系：</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1、采购人信息：</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名称：三门峡黄河天鹅湖湿地保护中心</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地址：三门峡市陕州区仰韶大道天鹅湖国家城市湿地公园南门东南侧</w:t>
      </w:r>
    </w:p>
    <w:p>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联系人：</w:t>
      </w:r>
      <w:r>
        <w:rPr>
          <w:rFonts w:hint="eastAsia" w:cs="宋体" w:asciiTheme="minorEastAsia" w:hAnsiTheme="minorEastAsia" w:eastAsiaTheme="minorEastAsia"/>
          <w:kern w:val="0"/>
          <w:sz w:val="24"/>
          <w:szCs w:val="24"/>
          <w:lang w:eastAsia="zh-CN"/>
        </w:rPr>
        <w:t>赵先生</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联系方式：15239875366</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2、采购代理机构信息：</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名称：</w:t>
      </w:r>
      <w:bookmarkStart w:id="7" w:name="OLE_LINK1"/>
      <w:r>
        <w:rPr>
          <w:rFonts w:hint="eastAsia" w:cs="宋体" w:asciiTheme="minorEastAsia" w:hAnsiTheme="minorEastAsia" w:eastAsiaTheme="minorEastAsia"/>
          <w:kern w:val="0"/>
          <w:sz w:val="24"/>
          <w:szCs w:val="24"/>
        </w:rPr>
        <w:t>河南宏信工程管理有限公司</w:t>
      </w:r>
      <w:bookmarkEnd w:id="7"/>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地址：郑州市二七区大学南路绿地滨湖国际城三区1号楼14层1418号</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联系人：苗先生</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联系方式：17739752652</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3、项目联系方式</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项目联系人：</w:t>
      </w:r>
      <w:r>
        <w:rPr>
          <w:rFonts w:hint="eastAsia" w:cs="宋体" w:asciiTheme="minorEastAsia" w:hAnsiTheme="minorEastAsia" w:eastAsiaTheme="minorEastAsia"/>
          <w:kern w:val="0"/>
          <w:sz w:val="24"/>
          <w:szCs w:val="24"/>
          <w:lang w:val="en-US" w:eastAsia="zh-CN"/>
        </w:rPr>
        <w:t>苗</w:t>
      </w:r>
      <w:r>
        <w:rPr>
          <w:rFonts w:hint="eastAsia" w:cs="宋体" w:asciiTheme="minorEastAsia" w:hAnsiTheme="minorEastAsia" w:eastAsiaTheme="minorEastAsia"/>
          <w:kern w:val="0"/>
          <w:sz w:val="24"/>
          <w:szCs w:val="24"/>
        </w:rPr>
        <w:t>先生</w:t>
      </w:r>
    </w:p>
    <w:p>
      <w:pPr>
        <w:spacing w:line="480" w:lineRule="exact"/>
        <w:ind w:firstLine="480" w:firstLineChars="200"/>
        <w:jc w:val="both"/>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 17739752652</w:t>
      </w:r>
    </w:p>
    <w:p>
      <w:pPr>
        <w:numPr>
          <w:ilvl w:val="0"/>
          <w:numId w:val="1"/>
        </w:numPr>
        <w:spacing w:line="480" w:lineRule="exact"/>
        <w:ind w:firstLine="480" w:firstLineChars="200"/>
        <w:jc w:val="both"/>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监督单位：三门峡市财政局政府采购监督管理科 </w:t>
      </w:r>
    </w:p>
    <w:p>
      <w:pPr>
        <w:numPr>
          <w:numId w:val="0"/>
        </w:numPr>
        <w:spacing w:line="480" w:lineRule="exact"/>
        <w:ind w:firstLine="480" w:firstLineChars="200"/>
        <w:jc w:val="both"/>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4"/>
        </w:rPr>
        <w:t>联系方式：0398-2608915</w:t>
      </w:r>
      <w:r>
        <w:rPr>
          <w:rFonts w:hint="eastAsia" w:cs="宋体" w:asciiTheme="minorEastAsia" w:hAnsiTheme="minorEastAsia" w:eastAsiaTheme="minorEastAsia"/>
          <w:kern w:val="0"/>
          <w:sz w:val="24"/>
          <w:szCs w:val="24"/>
        </w:rPr>
        <w:br w:type="page"/>
      </w:r>
      <w:bookmarkStart w:id="8" w:name="_Toc100846870"/>
      <w:r>
        <w:rPr>
          <w:rFonts w:hint="eastAsia" w:cs="宋体"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b/>
          <w:bCs/>
          <w:sz w:val="30"/>
          <w:szCs w:val="30"/>
        </w:rPr>
        <w:t>第二章 响应人须知</w:t>
      </w:r>
      <w:bookmarkEnd w:id="5"/>
      <w:bookmarkEnd w:id="6"/>
      <w:bookmarkEnd w:id="8"/>
    </w:p>
    <w:p>
      <w:pPr>
        <w:spacing w:line="480" w:lineRule="exact"/>
        <w:ind w:firstLine="602" w:firstLineChars="200"/>
        <w:jc w:val="center"/>
        <w:rPr>
          <w:rFonts w:asciiTheme="minorEastAsia" w:hAnsiTheme="minorEastAsia" w:eastAsiaTheme="minorEastAsia"/>
          <w:b/>
          <w:bCs/>
          <w:sz w:val="30"/>
          <w:szCs w:val="30"/>
        </w:rPr>
      </w:pPr>
      <w:bookmarkStart w:id="9" w:name="_Toc6916"/>
      <w:bookmarkStart w:id="10" w:name="_Toc31332"/>
      <w:r>
        <w:rPr>
          <w:rFonts w:hint="eastAsia" w:asciiTheme="minorEastAsia" w:hAnsiTheme="minorEastAsia" w:eastAsiaTheme="minorEastAsia"/>
          <w:b/>
          <w:bCs/>
          <w:sz w:val="30"/>
          <w:szCs w:val="30"/>
        </w:rPr>
        <w:t>响应人须知前附表</w:t>
      </w:r>
      <w:bookmarkEnd w:id="9"/>
      <w:bookmarkEnd w:id="10"/>
    </w:p>
    <w:tbl>
      <w:tblPr>
        <w:tblStyle w:val="1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9"/>
        <w:gridCol w:w="48"/>
        <w:gridCol w:w="1528"/>
        <w:gridCol w:w="239"/>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条款号</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条款名称</w:t>
            </w:r>
          </w:p>
        </w:tc>
        <w:tc>
          <w:tcPr>
            <w:tcW w:w="684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采购人</w:t>
            </w:r>
          </w:p>
        </w:tc>
        <w:tc>
          <w:tcPr>
            <w:tcW w:w="6849"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名称：三门峡黄河天鹅湖湿地保护中心</w:t>
            </w:r>
          </w:p>
          <w:p>
            <w:pPr>
              <w:widowControl/>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地址：三门峡市陕州区仰韶大道天鹅湖国家城市湿地公园南门东南侧</w:t>
            </w:r>
          </w:p>
          <w:p>
            <w:pPr>
              <w:widowControl/>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联系人：</w:t>
            </w:r>
            <w:r>
              <w:rPr>
                <w:rFonts w:hint="eastAsia" w:asciiTheme="minorEastAsia" w:hAnsiTheme="minorEastAsia" w:eastAsiaTheme="minorEastAsia"/>
                <w:kern w:val="0"/>
                <w:sz w:val="24"/>
                <w:szCs w:val="24"/>
                <w:lang w:eastAsia="zh-CN"/>
              </w:rPr>
              <w:t>赵先生</w:t>
            </w:r>
          </w:p>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联系方式：15239875366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代理机构</w:t>
            </w:r>
          </w:p>
        </w:tc>
        <w:tc>
          <w:tcPr>
            <w:tcW w:w="6849"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名称：河南宏信工程管理有限公司</w:t>
            </w:r>
          </w:p>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地址：郑州市二七区大学南路绿地滨湖国际城三区1号楼14层1418号</w:t>
            </w:r>
          </w:p>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联系人：苗先生</w:t>
            </w:r>
          </w:p>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联系方式：17739752652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6849" w:type="dxa"/>
            <w:tcBorders>
              <w:top w:val="single" w:color="auto" w:sz="4" w:space="0"/>
              <w:left w:val="nil"/>
              <w:bottom w:val="single" w:color="auto" w:sz="4" w:space="0"/>
              <w:right w:val="single" w:color="auto" w:sz="4" w:space="0"/>
            </w:tcBorders>
            <w:vAlign w:val="center"/>
          </w:tcPr>
          <w:p>
            <w:pPr>
              <w:widowControl/>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lang w:eastAsia="zh-CN"/>
              </w:rPr>
              <w:t>三门峡黄河天鹅湖湿地保护中心天鹅湖湿地公园青龙坝道路改造工程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建设地点</w:t>
            </w:r>
          </w:p>
        </w:tc>
        <w:tc>
          <w:tcPr>
            <w:tcW w:w="6849" w:type="dxa"/>
            <w:tcBorders>
              <w:top w:val="single" w:color="auto" w:sz="4" w:space="0"/>
              <w:left w:val="nil"/>
              <w:bottom w:val="single" w:color="auto" w:sz="4" w:space="0"/>
              <w:right w:val="single" w:color="auto" w:sz="4" w:space="0"/>
            </w:tcBorders>
            <w:vAlign w:val="center"/>
          </w:tcPr>
          <w:p>
            <w:pPr>
              <w:widowControl/>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lang w:eastAsia="zh-CN"/>
              </w:rPr>
              <w:t>三门峡市内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资金来源</w:t>
            </w:r>
          </w:p>
        </w:tc>
        <w:tc>
          <w:tcPr>
            <w:tcW w:w="6849" w:type="dxa"/>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财政资金，已落实到位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磋商范围</w:t>
            </w:r>
          </w:p>
        </w:tc>
        <w:tc>
          <w:tcPr>
            <w:tcW w:w="6849" w:type="dxa"/>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竞争性磋商文件、工程量清单所表示的全部内容。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计划工期</w:t>
            </w:r>
            <w:r>
              <w:rPr>
                <w:rFonts w:hint="eastAsia" w:cs="宋体" w:asciiTheme="minorEastAsia" w:hAnsiTheme="minorEastAsia" w:eastAsiaTheme="minorEastAsia"/>
                <w:bCs/>
                <w:kern w:val="0"/>
                <w:sz w:val="24"/>
                <w:szCs w:val="24"/>
                <w:lang w:val="en-US" w:eastAsia="zh-CN"/>
              </w:rPr>
              <w:t>/</w:t>
            </w:r>
            <w:r>
              <w:rPr>
                <w:rFonts w:hint="eastAsia" w:cs="宋体" w:asciiTheme="minorEastAsia" w:hAnsiTheme="minorEastAsia" w:eastAsiaTheme="minorEastAsia"/>
                <w:kern w:val="0"/>
                <w:sz w:val="24"/>
                <w:szCs w:val="24"/>
                <w:lang w:val="en-US" w:eastAsia="zh-CN"/>
              </w:rPr>
              <w:t>交货期</w:t>
            </w:r>
          </w:p>
        </w:tc>
        <w:tc>
          <w:tcPr>
            <w:tcW w:w="6849" w:type="dxa"/>
            <w:tcBorders>
              <w:top w:val="single" w:color="auto" w:sz="4" w:space="0"/>
              <w:left w:val="nil"/>
              <w:bottom w:val="single" w:color="auto" w:sz="4" w:space="0"/>
              <w:right w:val="single" w:color="auto" w:sz="4" w:space="0"/>
            </w:tcBorders>
            <w:vAlign w:val="center"/>
          </w:tcPr>
          <w:p>
            <w:pPr>
              <w:widowControl/>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质量要求</w:t>
            </w:r>
          </w:p>
        </w:tc>
        <w:tc>
          <w:tcPr>
            <w:tcW w:w="6849" w:type="dxa"/>
            <w:tcBorders>
              <w:top w:val="single" w:color="auto" w:sz="4" w:space="0"/>
              <w:left w:val="nil"/>
              <w:bottom w:val="single" w:color="auto" w:sz="4" w:space="0"/>
              <w:right w:val="single" w:color="auto" w:sz="4" w:space="0"/>
            </w:tcBorders>
            <w:vAlign w:val="center"/>
          </w:tcPr>
          <w:p>
            <w:pPr>
              <w:widowControl/>
              <w:numPr>
                <w:ilvl w:val="0"/>
                <w:numId w:val="0"/>
              </w:numPr>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达到国家现行建设工程质量验收规范合格标准</w:t>
            </w:r>
            <w:r>
              <w:rPr>
                <w:rFonts w:hint="eastAsia" w:cs="宋体" w:asciiTheme="minorEastAsia" w:hAnsiTheme="minorEastAsia" w:eastAsiaTheme="minorEastAsia"/>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响应人资质</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条件、能力</w:t>
            </w:r>
          </w:p>
          <w:p>
            <w:pPr>
              <w:ind w:firstLine="240" w:firstLine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和信誉</w:t>
            </w:r>
          </w:p>
        </w:tc>
        <w:tc>
          <w:tcPr>
            <w:tcW w:w="6849" w:type="dxa"/>
            <w:tcBorders>
              <w:top w:val="single" w:color="auto" w:sz="4" w:space="0"/>
              <w:left w:val="nil"/>
              <w:bottom w:val="single" w:color="auto" w:sz="4" w:space="0"/>
              <w:right w:val="single" w:color="auto" w:sz="4" w:space="0"/>
            </w:tcBorders>
            <w:vAlign w:val="center"/>
          </w:tcPr>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1、满足《中华人民共和国政府采购法》第二十二条规定；</w:t>
            </w:r>
          </w:p>
          <w:p>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2、落实政府采购政策满足的资格要求：本项目专门面向中小微企业采购项目。</w:t>
            </w:r>
          </w:p>
          <w:p>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3、本项目的特定资格要求：</w:t>
            </w:r>
          </w:p>
          <w:p>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（1）响应人须具备独立法人资格，具有有效的营业执照；</w:t>
            </w:r>
          </w:p>
          <w:p>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（2）响应人须具备市政公用工程施工总承包叁级（含）以上资质，且具有有效的安全生产许可证；</w:t>
            </w:r>
          </w:p>
          <w:p>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（3）拟派项目经理须具备市政公用工程专业贰级及以上注册建造师证书和安全生产考核合格证书，且未担任其他在建工程项目的项目经理。</w:t>
            </w:r>
          </w:p>
          <w:p>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（4）参加政府采购活动近三年内，在经营活动中没有重大违法记录，须提供承诺书，格式自拟；</w:t>
            </w:r>
          </w:p>
          <w:p>
            <w:pPr>
              <w:spacing w:line="480" w:lineRule="exact"/>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公告发布以后开标时间以前并提供网站查询网页截图，查询结果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是否接受联合体   </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踏勘现场</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磋商预备会</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  包</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偏  离</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构成磋商文件的其他材料</w:t>
            </w:r>
          </w:p>
        </w:tc>
        <w:tc>
          <w:tcPr>
            <w:tcW w:w="6849"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对竞争性磋商文件所作的澄清（含答疑）、修改，补充构成竞争性磋商文件的组成部分。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响应人要求澄清竞争性磋商文件的截止时间</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w:t>
            </w:r>
          </w:p>
        </w:tc>
        <w:tc>
          <w:tcPr>
            <w:tcW w:w="1767" w:type="dxa"/>
            <w:gridSpan w:val="2"/>
            <w:tcBorders>
              <w:top w:val="single" w:color="auto" w:sz="4" w:space="0"/>
              <w:left w:val="nil"/>
              <w:bottom w:val="single" w:color="auto" w:sz="4" w:space="0"/>
              <w:right w:val="single" w:color="auto" w:sz="4" w:space="0"/>
            </w:tcBorders>
            <w:vAlign w:val="center"/>
          </w:tcPr>
          <w:p>
            <w:pPr>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响应文件递</w:t>
            </w:r>
          </w:p>
          <w:p>
            <w:pPr>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交截止时间</w:t>
            </w:r>
          </w:p>
        </w:tc>
        <w:tc>
          <w:tcPr>
            <w:tcW w:w="6849" w:type="dxa"/>
            <w:tcBorders>
              <w:top w:val="single" w:color="auto" w:sz="4" w:space="0"/>
              <w:left w:val="nil"/>
              <w:bottom w:val="single" w:color="auto" w:sz="4" w:space="0"/>
              <w:right w:val="single" w:color="auto" w:sz="4" w:space="0"/>
            </w:tcBorders>
            <w:vAlign w:val="center"/>
          </w:tcPr>
          <w:p>
            <w:pP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响应人确认收到竞争性磋商文件澄清的时间</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在收到相应澄清文件后</w:t>
            </w:r>
            <w:r>
              <w:rPr>
                <w:rFonts w:hint="eastAsia" w:cs="宋体" w:asciiTheme="minorEastAsia" w:hAnsiTheme="minorEastAsia" w:eastAsiaTheme="minorEastAsia"/>
                <w:sz w:val="24"/>
                <w:szCs w:val="24"/>
                <w:u w:val="single"/>
              </w:rPr>
              <w:t xml:space="preserve"> 24 </w:t>
            </w:r>
            <w:r>
              <w:rPr>
                <w:rFonts w:hint="eastAsia" w:cs="宋体" w:asciiTheme="minorEastAsia" w:hAnsiTheme="minorEastAsia" w:eastAsiaTheme="minorEastAsia"/>
                <w:sz w:val="24"/>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响应人确认收到竞争性磋商文件修改的时间</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在收到相应修改文件后</w:t>
            </w:r>
            <w:r>
              <w:rPr>
                <w:rFonts w:hint="eastAsia" w:cs="宋体" w:asciiTheme="minorEastAsia" w:hAnsiTheme="minorEastAsia" w:eastAsiaTheme="minorEastAsia"/>
                <w:sz w:val="24"/>
                <w:szCs w:val="24"/>
                <w:u w:val="single"/>
              </w:rPr>
              <w:t xml:space="preserve"> 24</w:t>
            </w:r>
            <w:r>
              <w:rPr>
                <w:rFonts w:hint="eastAsia" w:cs="宋体" w:asciiTheme="minorEastAsia" w:hAnsiTheme="minorEastAsia" w:eastAsiaTheme="minorEastAsia"/>
                <w:sz w:val="24"/>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构成响应文件的其他材料</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磋商有效期</w:t>
            </w:r>
          </w:p>
        </w:tc>
        <w:tc>
          <w:tcPr>
            <w:tcW w:w="6849"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近年完成的类似项目的年份要求</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近</w:t>
            </w:r>
            <w:r>
              <w:rPr>
                <w:rFonts w:hint="eastAsia" w:cs="宋体" w:asciiTheme="minorEastAsia" w:hAnsiTheme="minorEastAsia" w:eastAsiaTheme="minorEastAsia"/>
                <w:sz w:val="24"/>
                <w:szCs w:val="24"/>
              </w:rPr>
              <w:t>年，指</w:t>
            </w:r>
            <w:r>
              <w:rPr>
                <w:rFonts w:hint="eastAsia" w:cs="宋体" w:asciiTheme="minorEastAsia" w:hAnsiTheme="minorEastAsia" w:eastAsiaTheme="minorEastAsia"/>
                <w:sz w:val="24"/>
                <w:szCs w:val="24"/>
                <w:u w:val="single"/>
              </w:rPr>
              <w:t>202</w:t>
            </w:r>
            <w:r>
              <w:rPr>
                <w:rFonts w:hint="eastAsia" w:cs="宋体" w:asciiTheme="minorEastAsia" w:hAnsiTheme="minorEastAsia" w:eastAsiaTheme="minorEastAsia"/>
                <w:sz w:val="24"/>
                <w:szCs w:val="24"/>
                <w:u w:val="single"/>
                <w:lang w:val="en-US" w:eastAsia="zh-CN"/>
              </w:rPr>
              <w:t>2</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1</w:t>
            </w:r>
            <w:r>
              <w:rPr>
                <w:rFonts w:hint="eastAsia" w:cs="宋体" w:asciiTheme="minorEastAsia" w:hAnsiTheme="minorEastAsia" w:eastAsiaTheme="minorEastAsia"/>
                <w:sz w:val="24"/>
                <w:szCs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是否允许递交备选磋商方案</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签字和（或）盖章要求</w:t>
            </w:r>
          </w:p>
        </w:tc>
        <w:tc>
          <w:tcPr>
            <w:tcW w:w="6849"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电子化响应文件的签章：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1、响应人在生成电子化响应文件后，应对电子化响应文件进行签章，未对电子化响应文件进行签章的视为无效投标。</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2、竞争性磋商文件中要求法定代表人或授权委托人盖章的，响应人在进行电子化响应文件签章时，以签盖法定代表人签章为准。</w:t>
            </w:r>
          </w:p>
          <w:p>
            <w:pPr>
              <w:wordWrap w:val="0"/>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3、电子化响应文件工具请点击</w:t>
            </w:r>
            <w:r>
              <w:rPr>
                <w:rFonts w:cs="宋体" w:asciiTheme="minorEastAsia" w:hAnsiTheme="minorEastAsia" w:eastAsiaTheme="minorEastAsia"/>
                <w:sz w:val="24"/>
                <w:szCs w:val="24"/>
              </w:rPr>
              <w:t>https://download.bqpoint.com/download/downloadlist.html?SoftTypeCode=06</w:t>
            </w:r>
            <w:r>
              <w:rPr>
                <w:rFonts w:hint="eastAsia" w:cs="宋体" w:asciiTheme="minorEastAsia" w:hAnsiTheme="minorEastAsia" w:eastAsiaTheme="minorEastAsia"/>
                <w:sz w:val="24"/>
                <w:szCs w:val="24"/>
              </w:rPr>
              <w:t>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3.7.4</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w:t>
            </w:r>
          </w:p>
        </w:tc>
        <w:tc>
          <w:tcPr>
            <w:tcW w:w="6849" w:type="dxa"/>
            <w:tcBorders>
              <w:top w:val="single" w:color="auto" w:sz="4" w:space="0"/>
              <w:left w:val="nil"/>
              <w:bottom w:val="single" w:color="auto" w:sz="4" w:space="0"/>
              <w:right w:val="single" w:color="auto" w:sz="4" w:space="0"/>
            </w:tcBorders>
            <w:vAlign w:val="center"/>
          </w:tcPr>
          <w:p>
            <w:pPr>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用CA在电子平台上传电子响应文件，在磋商截止时间前成功上传至三门峡市公共资源电子化交易系统。本项目为电子化、无纸化交易项目。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是否退还响应文件</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磋商时间和</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p>
        </w:tc>
        <w:tc>
          <w:tcPr>
            <w:tcW w:w="6849"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磋商小组的</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组建</w:t>
            </w:r>
          </w:p>
        </w:tc>
        <w:tc>
          <w:tcPr>
            <w:tcW w:w="684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Calibri"/>
                <w:sz w:val="24"/>
              </w:rPr>
            </w:pPr>
            <w:r>
              <w:rPr>
                <w:rFonts w:hint="eastAsia" w:ascii="宋体" w:hAnsi="宋体" w:cs="Calibri"/>
                <w:sz w:val="24"/>
              </w:rPr>
              <w:t>评标委员会构成：3人；</w:t>
            </w:r>
          </w:p>
          <w:p>
            <w:pPr>
              <w:spacing w:line="400" w:lineRule="exact"/>
              <w:rPr>
                <w:rFonts w:hint="default" w:eastAsia="宋体" w:cs="宋体" w:asciiTheme="minorEastAsia" w:hAnsiTheme="minorEastAsia"/>
                <w:sz w:val="24"/>
                <w:szCs w:val="24"/>
                <w:lang w:val="en-US" w:eastAsia="zh-CN"/>
              </w:rPr>
            </w:pPr>
            <w:r>
              <w:rPr>
                <w:rFonts w:hint="eastAsia" w:ascii="宋体" w:hAnsi="宋体" w:cs="Calibri"/>
                <w:sz w:val="24"/>
              </w:rPr>
              <w:t>评标专家确定方式：经济、技术专家开标当天从河南省政府采购评审专家库随机抽取确定。</w:t>
            </w:r>
            <w:r>
              <w:rPr>
                <w:rFonts w:hint="eastAsia" w:ascii="宋体" w:hAnsi="宋体" w:cs="Calibri"/>
                <w:sz w:val="24"/>
                <w:lang w:val="en-US" w:eastAsia="zh-CN"/>
              </w:rPr>
              <w:t>业主评委无评标劳务费用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是否授权评标委员会确定中标人</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否，按顺序推荐的中标候选人数：</w:t>
            </w:r>
            <w:r>
              <w:rPr>
                <w:rFonts w:hint="eastAsia" w:cs="宋体" w:asciiTheme="minorEastAsia" w:hAnsiTheme="minorEastAsia" w:eastAsiaTheme="minorEastAsia"/>
                <w:sz w:val="24"/>
                <w:szCs w:val="24"/>
                <w:u w:val="singl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w:t>
            </w:r>
          </w:p>
        </w:tc>
        <w:tc>
          <w:tcPr>
            <w:tcW w:w="1767"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履约担保</w:t>
            </w:r>
          </w:p>
        </w:tc>
        <w:tc>
          <w:tcPr>
            <w:tcW w:w="6849" w:type="dxa"/>
            <w:tcBorders>
              <w:top w:val="single" w:color="auto" w:sz="4" w:space="0"/>
              <w:left w:val="nil"/>
              <w:bottom w:val="single" w:color="auto" w:sz="4" w:space="0"/>
              <w:right w:val="single" w:color="auto" w:sz="4" w:space="0"/>
            </w:tcBorders>
            <w:vAlign w:val="center"/>
          </w:tcPr>
          <w:p>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本项目不收取履约担保。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1767"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center"/>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付款方式</w:t>
            </w:r>
          </w:p>
        </w:tc>
        <w:tc>
          <w:tcPr>
            <w:tcW w:w="6849" w:type="dxa"/>
            <w:tcBorders>
              <w:top w:val="single" w:color="auto" w:sz="4" w:space="0"/>
              <w:left w:val="nil"/>
              <w:bottom w:val="single" w:color="auto" w:sz="4" w:space="0"/>
              <w:right w:val="single" w:color="auto" w:sz="4" w:space="0"/>
            </w:tcBorders>
            <w:vAlign w:val="center"/>
          </w:tcPr>
          <w:p>
            <w:pPr>
              <w:tabs>
                <w:tab w:val="left" w:pos="180"/>
              </w:tabs>
              <w:spacing w:line="400" w:lineRule="exac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固定单价合同；以财政支付为准</w:t>
            </w:r>
            <w:r>
              <w:rPr>
                <w:rFonts w:hint="eastAsia" w:cs="宋体"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9.1</w:t>
            </w:r>
          </w:p>
        </w:tc>
        <w:tc>
          <w:tcPr>
            <w:tcW w:w="1767"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center"/>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合同签订时间</w:t>
            </w:r>
          </w:p>
        </w:tc>
        <w:tc>
          <w:tcPr>
            <w:tcW w:w="6849" w:type="dxa"/>
            <w:tcBorders>
              <w:top w:val="single" w:color="auto" w:sz="4" w:space="0"/>
              <w:left w:val="nil"/>
              <w:bottom w:val="single" w:color="auto" w:sz="4" w:space="0"/>
              <w:right w:val="single" w:color="auto" w:sz="4" w:space="0"/>
            </w:tcBorders>
            <w:vAlign w:val="center"/>
          </w:tcPr>
          <w:p>
            <w:pPr>
              <w:tabs>
                <w:tab w:val="left" w:pos="180"/>
              </w:tabs>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成交人应自成交通知书发出之日起</w:t>
            </w:r>
            <w:r>
              <w:rPr>
                <w:rFonts w:cs="宋体" w:asciiTheme="minorEastAsia" w:hAnsiTheme="minorEastAsia" w:eastAsiaTheme="minorEastAsia"/>
                <w:sz w:val="24"/>
              </w:rPr>
              <w:t>2</w:t>
            </w:r>
            <w:r>
              <w:rPr>
                <w:rFonts w:hint="eastAsia" w:cs="宋体" w:asciiTheme="minorEastAsia" w:hAnsiTheme="minorEastAsia" w:eastAsiaTheme="minorEastAsia"/>
                <w:sz w:val="24"/>
              </w:rPr>
              <w:t>个工作日内按照成交通知书和响应文件内容及要求签订合同。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9.2</w:t>
            </w:r>
          </w:p>
        </w:tc>
        <w:tc>
          <w:tcPr>
            <w:tcW w:w="1767"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center"/>
              <w:rPr>
                <w:rFonts w:hint="eastAsia" w:cs="宋体" w:asciiTheme="minorEastAsia" w:hAnsiTheme="minorEastAsia" w:eastAsiaTheme="minorEastAsia"/>
                <w:spacing w:val="-6"/>
                <w:sz w:val="24"/>
                <w:szCs w:val="24"/>
              </w:rPr>
            </w:pPr>
            <w:r>
              <w:rPr>
                <w:rFonts w:hint="eastAsia" w:ascii="宋体" w:hAnsi="宋体" w:cs="宋体"/>
                <w:color w:val="auto"/>
                <w:kern w:val="44"/>
                <w:sz w:val="24"/>
                <w:szCs w:val="24"/>
                <w:highlight w:val="none"/>
                <w:lang w:val="en-US" w:eastAsia="zh-CN"/>
              </w:rPr>
              <w:t>代理费用</w:t>
            </w:r>
          </w:p>
        </w:tc>
        <w:tc>
          <w:tcPr>
            <w:tcW w:w="6849" w:type="dxa"/>
            <w:tcBorders>
              <w:top w:val="single" w:color="auto" w:sz="4" w:space="0"/>
              <w:left w:val="nil"/>
              <w:bottom w:val="single" w:color="auto" w:sz="4" w:space="0"/>
              <w:right w:val="single" w:color="auto" w:sz="4" w:space="0"/>
            </w:tcBorders>
            <w:vAlign w:val="center"/>
          </w:tcPr>
          <w:p>
            <w:pPr>
              <w:tabs>
                <w:tab w:val="left" w:pos="180"/>
              </w:tabs>
              <w:spacing w:line="400" w:lineRule="exact"/>
              <w:rPr>
                <w:rFonts w:hint="eastAsia" w:cs="宋体" w:asciiTheme="minorEastAsia" w:hAnsiTheme="minorEastAsia" w:eastAsiaTheme="minorEastAsia"/>
                <w:sz w:val="24"/>
              </w:rPr>
            </w:pPr>
            <w:r>
              <w:rPr>
                <w:rFonts w:hint="eastAsia" w:ascii="宋体" w:hAnsi="宋体" w:cs="宋体"/>
                <w:sz w:val="24"/>
                <w:highlight w:val="none"/>
              </w:rPr>
              <w:t>成交服务费：代理服务费参照豫招协[2023]002号河南省招标投标协会关于印发《河南省招标代理服务收费指导意见》规定的收费标准收取中标服务费，不含税，由成交人支付。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9.3</w:t>
            </w:r>
          </w:p>
        </w:tc>
        <w:tc>
          <w:tcPr>
            <w:tcW w:w="1767"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00" w:lineRule="exact"/>
              <w:jc w:val="center"/>
              <w:rPr>
                <w:rFonts w:hint="eastAsia" w:cs="宋体" w:asciiTheme="minorEastAsia" w:hAnsiTheme="minorEastAsia" w:eastAsiaTheme="minorEastAsia"/>
                <w:spacing w:val="-6"/>
                <w:sz w:val="24"/>
                <w:szCs w:val="24"/>
              </w:rPr>
            </w:pPr>
            <w:r>
              <w:rPr>
                <w:rFonts w:hint="eastAsia" w:ascii="宋体" w:hAnsi="宋体" w:cs="宋体"/>
                <w:color w:val="auto"/>
                <w:kern w:val="44"/>
                <w:sz w:val="24"/>
                <w:szCs w:val="24"/>
                <w:highlight w:val="none"/>
                <w:lang w:val="en-US" w:eastAsia="zh-CN"/>
              </w:rPr>
              <w:t>中小企业声明函</w:t>
            </w:r>
          </w:p>
        </w:tc>
        <w:tc>
          <w:tcPr>
            <w:tcW w:w="6849" w:type="dxa"/>
            <w:tcBorders>
              <w:top w:val="single" w:color="auto" w:sz="4" w:space="0"/>
              <w:left w:val="nil"/>
              <w:bottom w:val="single" w:color="auto" w:sz="4" w:space="0"/>
              <w:right w:val="single" w:color="auto" w:sz="4" w:space="0"/>
            </w:tcBorders>
            <w:vAlign w:val="center"/>
          </w:tcPr>
          <w:p>
            <w:pPr>
              <w:tabs>
                <w:tab w:val="left" w:pos="180"/>
              </w:tabs>
              <w:spacing w:line="400" w:lineRule="exact"/>
              <w:rPr>
                <w:rFonts w:hint="default" w:cs="宋体" w:asciiTheme="minorEastAsia" w:hAnsiTheme="minorEastAsia" w:eastAsiaTheme="minorEastAsia"/>
                <w:sz w:val="24"/>
                <w:lang w:val="en-US"/>
              </w:rPr>
            </w:pPr>
            <w:r>
              <w:rPr>
                <w:rFonts w:hint="eastAsia" w:ascii="宋体" w:hAnsi="宋体" w:cs="宋体"/>
                <w:color w:val="auto"/>
                <w:kern w:val="44"/>
                <w:sz w:val="24"/>
                <w:szCs w:val="24"/>
                <w:highlight w:val="none"/>
                <w:lang w:val="en-US" w:eastAsia="zh-CN"/>
              </w:rPr>
              <w:t>根据《关于印发中小企业划型标准规定的通知》本项目</w:t>
            </w:r>
            <w:r>
              <w:rPr>
                <w:rFonts w:hint="eastAsia" w:ascii="宋体" w:hAnsi="宋体" w:cs="宋体"/>
                <w:b/>
                <w:bCs/>
                <w:color w:val="auto"/>
                <w:kern w:val="44"/>
                <w:sz w:val="24"/>
                <w:szCs w:val="24"/>
                <w:highlight w:val="none"/>
                <w:lang w:val="en-US" w:eastAsia="zh-CN"/>
              </w:rPr>
              <w:t>属于建筑业</w:t>
            </w:r>
            <w:r>
              <w:rPr>
                <w:rFonts w:hint="eastAsia" w:ascii="宋体" w:hAnsi="宋体" w:cs="宋体"/>
                <w:color w:val="auto"/>
                <w:kern w:val="44"/>
                <w:sz w:val="24"/>
                <w:szCs w:val="24"/>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w:t>
            </w:r>
          </w:p>
        </w:tc>
        <w:tc>
          <w:tcPr>
            <w:tcW w:w="1576"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w:t>
            </w:r>
          </w:p>
        </w:tc>
        <w:tc>
          <w:tcPr>
            <w:tcW w:w="7088" w:type="dxa"/>
            <w:gridSpan w:val="2"/>
            <w:tcBorders>
              <w:top w:val="single" w:color="auto" w:sz="4" w:space="0"/>
              <w:left w:val="nil"/>
              <w:bottom w:val="single" w:color="auto" w:sz="4" w:space="0"/>
              <w:right w:val="single" w:color="auto" w:sz="4" w:space="0"/>
            </w:tcBorders>
            <w:vAlign w:val="center"/>
          </w:tcPr>
          <w:p>
            <w:pPr>
              <w:spacing w:line="440" w:lineRule="exact"/>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kern w:val="0"/>
                <w:sz w:val="24"/>
                <w:szCs w:val="24"/>
              </w:rPr>
              <w:t>招标控制价：</w:t>
            </w:r>
            <w:r>
              <w:rPr>
                <w:rFonts w:hint="eastAsia" w:cs="宋体" w:asciiTheme="minorEastAsia" w:hAnsiTheme="minorEastAsia" w:eastAsiaTheme="minorEastAsia"/>
                <w:kern w:val="0"/>
                <w:sz w:val="24"/>
                <w:szCs w:val="24"/>
                <w:lang w:eastAsia="zh-CN"/>
              </w:rPr>
              <w:t>1149435.83</w:t>
            </w:r>
            <w:r>
              <w:rPr>
                <w:rFonts w:hint="eastAsia" w:cs="宋体" w:asciiTheme="minorEastAsia" w:hAnsiTheme="minorEastAsia" w:eastAsiaTheme="minorEastAsia"/>
                <w:b/>
                <w:bCs/>
                <w:kern w:val="0"/>
                <w:sz w:val="24"/>
                <w:szCs w:val="24"/>
              </w:rPr>
              <w:t>元</w:t>
            </w:r>
            <w:r>
              <w:rPr>
                <w:rFonts w:hint="eastAsia" w:cs="宋体" w:asciiTheme="minorEastAsia" w:hAnsiTheme="minorEastAsia" w:eastAsiaTheme="minorEastAsia"/>
                <w:b/>
                <w:bCs/>
                <w:kern w:val="0"/>
                <w:sz w:val="24"/>
                <w:szCs w:val="24"/>
                <w:lang w:eastAsia="zh-CN"/>
              </w:rPr>
              <w:t>；</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招标控制价是采购人控制招标工程造价的最高限价</w:t>
            </w:r>
            <w:r>
              <w:rPr>
                <w:rFonts w:hint="eastAsia" w:cs="宋体" w:asciiTheme="minorEastAsia" w:hAnsiTheme="minorEastAsia" w:eastAsiaTheme="minorEastAsia"/>
                <w:spacing w:val="1"/>
                <w:sz w:val="24"/>
              </w:rPr>
              <w:t>，</w:t>
            </w:r>
            <w:r>
              <w:rPr>
                <w:rFonts w:hint="eastAsia" w:cs="宋体" w:asciiTheme="minorEastAsia" w:hAnsiTheme="minorEastAsia" w:eastAsiaTheme="minorEastAsia"/>
                <w:sz w:val="24"/>
              </w:rPr>
              <w:t>高于招标控制价的其磋商将被否决。一次报价和最终报价高于招标控制价的其磋商将被否决。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w:t>
            </w:r>
          </w:p>
        </w:tc>
        <w:tc>
          <w:tcPr>
            <w:tcW w:w="1576"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竞争性磋商文件的解释</w:t>
            </w:r>
          </w:p>
        </w:tc>
        <w:tc>
          <w:tcPr>
            <w:tcW w:w="7088" w:type="dxa"/>
            <w:gridSpan w:val="2"/>
            <w:tcBorders>
              <w:top w:val="single" w:color="auto" w:sz="4" w:space="0"/>
              <w:left w:val="nil"/>
              <w:bottom w:val="single" w:color="auto" w:sz="4" w:space="0"/>
              <w:right w:val="single" w:color="auto" w:sz="4" w:space="0"/>
            </w:tcBorders>
            <w:vAlign w:val="center"/>
          </w:tcPr>
          <w:p>
            <w:pPr>
              <w:spacing w:line="400" w:lineRule="exact"/>
              <w:ind w:right="-153" w:rightChars="-73"/>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在符合相关法律法规的前题下，竞争性磋商文件的解释权归采购人所有。本竞争性磋商文件中其他部分内容与响应人须知前附表不一致的，以响应人须知前附表为准。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10.4</w:t>
            </w:r>
          </w:p>
        </w:tc>
        <w:tc>
          <w:tcPr>
            <w:tcW w:w="1576"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答疑</w:t>
            </w:r>
          </w:p>
        </w:tc>
        <w:tc>
          <w:tcPr>
            <w:tcW w:w="7088" w:type="dxa"/>
            <w:gridSpan w:val="2"/>
            <w:tcBorders>
              <w:top w:val="single" w:color="auto" w:sz="4" w:space="0"/>
              <w:left w:val="nil"/>
              <w:bottom w:val="single" w:color="auto" w:sz="4" w:space="0"/>
              <w:right w:val="single" w:color="auto" w:sz="4" w:space="0"/>
            </w:tcBorders>
            <w:vAlign w:val="center"/>
          </w:tcPr>
          <w:p>
            <w:pPr>
              <w:spacing w:line="400" w:lineRule="exact"/>
              <w:ind w:right="-153" w:rightChars="-73"/>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需要解答的疑问以书面形式加盖单位公章递交至采购人或代理机构，逾期提交的问题概不做回复。采购人将需要解答的</w:t>
            </w:r>
          </w:p>
          <w:p>
            <w:pPr>
              <w:spacing w:line="400" w:lineRule="exact"/>
              <w:ind w:right="-153" w:rightChars="-73"/>
              <w:jc w:val="left"/>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内容以公告形式发至所有潜在响应人。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10.5结果公告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在《河南省电子招标投标公共服务平台》、《河南省政府采购网》和《三门峡市公共资源交易中心网》同时进行公告，公示期</w:t>
            </w:r>
            <w:r>
              <w:rPr>
                <w:rFonts w:cs="宋体" w:asciiTheme="minorEastAsia" w:hAnsiTheme="minorEastAsia" w:eastAsiaTheme="minorEastAsia"/>
                <w:sz w:val="24"/>
                <w:szCs w:val="24"/>
              </w:rPr>
              <w:t>1个工作日</w:t>
            </w:r>
            <w:r>
              <w:rPr>
                <w:rFonts w:hint="eastAsia" w:cs="宋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除响应人须知正文规定的情形外，除非已经产生中标候选人，在磋商有效期内同意延长磋商有效期的响应人少于三个的，采购人应当依法重新招标。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本项目的招标磋商活动及其相关当事人应当接受有管辖权的招标投标行政监督部门依法实施的监督。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10.10电子化交易注意事项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8733" w:type="dxa"/>
            <w:gridSpan w:val="5"/>
            <w:tcBorders>
              <w:top w:val="single" w:color="auto" w:sz="4" w:space="0"/>
              <w:left w:val="nil"/>
              <w:bottom w:val="single" w:color="auto" w:sz="4" w:space="0"/>
              <w:right w:val="single" w:color="auto" w:sz="4" w:space="0"/>
            </w:tcBorders>
            <w:vAlign w:val="center"/>
          </w:tcPr>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具体要求：本项目为电子化、无纸化交易项目，响应文件是响应人、供应商（以下简称“响应人”）通过中心响应文件制作系统制作，并经过签章和加密后生成的电子版响应文件。</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电子化响应文件具体制作文件请点击</w:t>
            </w:r>
            <w:r>
              <w:rPr>
                <w:rFonts w:asciiTheme="minorEastAsia" w:hAnsiTheme="minorEastAsia" w:eastAsiaTheme="minorEastAsia"/>
                <w:sz w:val="24"/>
                <w:szCs w:val="24"/>
              </w:rPr>
              <w:t>https://download.bqpoint.com/download/downloadlist.html?SoftTypeCode=06</w:t>
            </w:r>
            <w:r>
              <w:rPr>
                <w:rFonts w:hint="eastAsia" w:asciiTheme="minorEastAsia" w:hAnsiTheme="minorEastAsia" w:eastAsiaTheme="minorEastAsia"/>
                <w:sz w:val="24"/>
                <w:szCs w:val="24"/>
              </w:rPr>
              <w:t>进行下载。</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温馨提示：本项目为电子化、无纸化交易项目，为保证您能投标成功，请需仔细阅读以下条款。</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（一）电子化响应文件的签章</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1、响应人在生成电子化响应文件后，应对电子化响应文件进行签章，未进行签章的视为无效投标。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2、竞争性磋商文件中要求法定代表人或授权委托人签字或盖章的，响应人在进行电子化响应文件签章时，以签盖法定代表人签章为准。</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（二）电子化响应文件的格式及上传投标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1、响应人所上传的电子化响应文件，应是通过中心响应文件制作系统制作的（响应文件制作工具下载地址：</w:t>
            </w:r>
            <w:r>
              <w:rPr>
                <w:rFonts w:asciiTheme="minorEastAsia" w:hAnsiTheme="minorEastAsia" w:eastAsiaTheme="minorEastAsia"/>
                <w:sz w:val="24"/>
                <w:szCs w:val="24"/>
              </w:rPr>
              <w:t>https://download.bqpoint.com/download/downloadlist.html?SoftTypeCode=06</w:t>
            </w:r>
            <w:r>
              <w:rPr>
                <w:rFonts w:hint="eastAsia" w:asciiTheme="minorEastAsia" w:hAnsiTheme="minorEastAsia" w:eastAsiaTheme="minorEastAsia"/>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注：响应人投报多个标段的，需要每个标段单独制作电子响应文件。</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2、电子化响应文件应在磋商截止时间前成功上传至三门峡市公共资源电子化交易系统。至磋商截止时间止，仍未上传成功的电子化响应文件将不予接收。</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技术联系电话：0398-3117095   3117080</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新点客服电话:400</w:t>
            </w:r>
            <w:r>
              <w:rPr>
                <w:rFonts w:asciiTheme="minorEastAsia" w:hAnsiTheme="minorEastAsia" w:eastAsiaTheme="minorEastAsia"/>
                <w:sz w:val="24"/>
                <w:szCs w:val="24"/>
              </w:rPr>
              <w:t>-</w:t>
            </w:r>
            <w:r>
              <w:rPr>
                <w:rFonts w:hint="eastAsia" w:asciiTheme="minorEastAsia" w:hAnsiTheme="minorEastAsia" w:eastAsiaTheme="minorEastAsia"/>
                <w:sz w:val="24"/>
                <w:szCs w:val="24"/>
              </w:rPr>
              <w:t>9980000</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（三）电子化项目开标、解密、评标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asciiTheme="minorEastAsia" w:hAnsiTheme="minorEastAsia" w:eastAsiaTheme="minorEastAsia"/>
                <w:sz w:val="24"/>
                <w:szCs w:val="24"/>
              </w:rPr>
              <w:t>http://122.112.246.33/BidOpening/bidopeninghallaction/hall/login</w:t>
            </w:r>
            <w:r>
              <w:rPr>
                <w:rFonts w:hint="eastAsia" w:asciiTheme="minorEastAsia" w:hAnsiTheme="minorEastAsia" w:eastAsiaTheme="minorEastAsia"/>
                <w:sz w:val="24"/>
                <w:szCs w:val="24"/>
              </w:rPr>
              <w:t>）,在线准时参加开标活动并进行投标文件解密等。</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3、电子化响应文件解密异常的处理</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如出现响应人的电子响应文件无法解密等异常情况，响应人应及时致电中介服务机构说明。响应文件异常，按以下步骤进行处理：</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（2）经技术人员排查后，是响应人文件自身问题导致投标文件无法解密的，该响应文件将不予接收、解密。开标会议继续进行。</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4、待所有响应人响应文件解密完成后，由中介服务机构操作，对所有已解密响应文件进行解密。</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响应人应保证在磋商期间电话、电脑、网络能够正常工作，响应人因停电、电脑病毒、网络堵塞等原因，未在规定的解密时间内对响应文件进行解密的，其响应文件不予接收。</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7、如评标委员会对需要回复的响应人连续三次致电未接通的，视为响应人放弃回复，评标委员会将自行对需要回复的内容进行认定。</w:t>
            </w:r>
          </w:p>
          <w:p>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二、资格审查资料</w:t>
            </w:r>
          </w:p>
          <w:p>
            <w:pPr>
              <w:wordWrap w:val="0"/>
              <w:spacing w:line="400" w:lineRule="exact"/>
              <w:ind w:firstLine="480" w:firstLineChars="200"/>
              <w:jc w:val="left"/>
              <w:rPr>
                <w:rFonts w:cs="宋体" w:asciiTheme="minorEastAsia" w:hAnsiTheme="minorEastAsia" w:eastAsiaTheme="minorEastAsia"/>
                <w:b/>
                <w:bCs/>
                <w:kern w:val="0"/>
                <w:sz w:val="24"/>
                <w:szCs w:val="24"/>
              </w:rPr>
            </w:pPr>
            <w:r>
              <w:rPr>
                <w:rFonts w:hint="eastAsia" w:asciiTheme="minorEastAsia" w:hAnsiTheme="minorEastAsia" w:eastAsiaTheme="minorEastAsia"/>
                <w:sz w:val="24"/>
                <w:szCs w:val="24"/>
              </w:rPr>
              <w:t>本项目实行资格后审，</w:t>
            </w:r>
            <w:r>
              <w:rPr>
                <w:rFonts w:hint="eastAsia" w:asciiTheme="minorEastAsia" w:hAnsiTheme="minorEastAsia" w:eastAsiaTheme="minorEastAsia"/>
                <w:b/>
                <w:bCs/>
                <w:sz w:val="24"/>
                <w:szCs w:val="24"/>
              </w:rPr>
              <w:t>资格评审以投标文件为准</w:t>
            </w:r>
            <w:r>
              <w:rPr>
                <w:rFonts w:hint="eastAsia" w:asciiTheme="minorEastAsia" w:hAnsiTheme="minorEastAsia" w:eastAsiaTheme="minorEastAsia"/>
                <w:sz w:val="24"/>
                <w:szCs w:val="24"/>
              </w:rPr>
              <w:t>，其上传资料真实性由投标人自行承担，同时，投标人要完善主体库。提示：本项目为电子化、无纸化交易项目，为保证您能投标成功，请需仔细阅读以上条款。</w:t>
            </w:r>
          </w:p>
        </w:tc>
      </w:tr>
    </w:tbl>
    <w:p>
      <w:pPr>
        <w:numPr>
          <w:ilvl w:val="0"/>
          <w:numId w:val="0"/>
        </w:numPr>
        <w:spacing w:line="520" w:lineRule="exact"/>
        <w:ind w:left="148" w:leftChars="0" w:firstLine="482" w:firstLineChars="0"/>
        <w:outlineLvl w:val="1"/>
        <w:rPr>
          <w:rFonts w:hint="eastAsia" w:cs="宋体" w:asciiTheme="minorEastAsia" w:hAnsiTheme="minorEastAsia" w:eastAsiaTheme="minorEastAsia"/>
          <w:b/>
          <w:bCs/>
          <w:kern w:val="0"/>
          <w:sz w:val="24"/>
          <w:szCs w:val="24"/>
          <w:lang w:val="en-US" w:eastAsia="zh-CN"/>
        </w:rPr>
      </w:pPr>
      <w:bookmarkStart w:id="11" w:name="_Toc20553"/>
      <w:bookmarkStart w:id="12" w:name="_Toc24188"/>
      <w:bookmarkStart w:id="13" w:name="_Toc19973"/>
      <w:r>
        <w:rPr>
          <w:rFonts w:hint="eastAsia" w:cs="宋体" w:asciiTheme="minorEastAsia" w:hAnsiTheme="minorEastAsia" w:eastAsiaTheme="minorEastAsia"/>
          <w:b/>
          <w:bCs/>
          <w:kern w:val="0"/>
          <w:sz w:val="24"/>
          <w:szCs w:val="24"/>
          <w:lang w:val="en-US" w:eastAsia="zh-CN" w:bidi="ar-SA"/>
        </w:rPr>
        <w:t>一、</w:t>
      </w:r>
      <w:r>
        <w:rPr>
          <w:rFonts w:hint="eastAsia" w:cs="宋体" w:asciiTheme="minorEastAsia" w:hAnsiTheme="minorEastAsia" w:eastAsiaTheme="minorEastAsia"/>
          <w:b/>
          <w:bCs/>
          <w:kern w:val="0"/>
          <w:sz w:val="24"/>
          <w:szCs w:val="24"/>
          <w:lang w:val="en-US" w:eastAsia="zh-CN"/>
        </w:rPr>
        <w:t>二标段</w:t>
      </w:r>
    </w:p>
    <w:p>
      <w:pPr>
        <w:numPr>
          <w:ilvl w:val="0"/>
          <w:numId w:val="0"/>
        </w:numPr>
        <w:spacing w:line="520" w:lineRule="exact"/>
        <w:ind w:left="148" w:leftChars="0" w:firstLine="482" w:firstLineChars="0"/>
        <w:outlineLvl w:val="1"/>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1.总则</w:t>
      </w:r>
      <w:bookmarkEnd w:id="11"/>
      <w:bookmarkEnd w:id="12"/>
      <w:bookmarkEnd w:id="13"/>
    </w:p>
    <w:p>
      <w:pPr>
        <w:keepNext/>
        <w:keepLines/>
        <w:spacing w:line="520" w:lineRule="exact"/>
        <w:ind w:firstLine="482" w:firstLineChars="200"/>
        <w:outlineLvl w:val="3"/>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1.1</w:t>
      </w:r>
      <w:r>
        <w:rPr>
          <w:rFonts w:hint="eastAsia" w:cs="宋体" w:asciiTheme="minorEastAsia" w:hAnsiTheme="minorEastAsia" w:eastAsiaTheme="minorEastAsia"/>
          <w:b/>
          <w:bCs/>
          <w:sz w:val="24"/>
          <w:szCs w:val="24"/>
        </w:rPr>
        <w:t>项目</w:t>
      </w:r>
      <w:r>
        <w:rPr>
          <w:rFonts w:hint="eastAsia" w:cs="宋体" w:asciiTheme="minorEastAsia" w:hAnsiTheme="minorEastAsia" w:eastAsiaTheme="minorEastAsia"/>
          <w:b/>
          <w:bCs/>
          <w:kern w:val="0"/>
          <w:sz w:val="24"/>
          <w:szCs w:val="24"/>
        </w:rPr>
        <w:t>概况</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根据《中华人民共和国政府采购法》等有关法律、法规和规章的规定，本项目已具备磋商条件，现对本项目进行竞争性磋商。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本磋商项目采购人：见响应人须知前附表。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本磋商项目招标代理机构：见响应人须知前附表。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本磋商项目名称：见响应人须知前附表。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 本磋商项目建设地点：见响应人须知前附表。</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1.2 资金来源</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本招标项目的资金来源：见响应人须知前附表。</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1.3 磋商范围、计划工期和质量要求</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本次磋商范围：见响应人须知前附表。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本工程的计划工期：见响应人须知前附表。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本工程的质量要求：见响应人须知前附表。</w:t>
      </w:r>
    </w:p>
    <w:p>
      <w:pPr>
        <w:keepNext/>
        <w:keepLines/>
        <w:spacing w:line="520" w:lineRule="exact"/>
        <w:ind w:firstLine="482" w:firstLineChars="200"/>
        <w:outlineLvl w:val="3"/>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1.4响应人资格要求</w:t>
      </w:r>
    </w:p>
    <w:p>
      <w:pPr>
        <w:pStyle w:val="5"/>
        <w:ind w:firstLine="723" w:firstLineChars="300"/>
        <w:rPr>
          <w:rFonts w:hint="default" w:eastAsiaTheme="minorEastAsia"/>
          <w:lang w:val="en-US" w:eastAsia="zh-CN"/>
        </w:rPr>
      </w:pPr>
      <w:r>
        <w:rPr>
          <w:rFonts w:hint="eastAsia" w:cs="宋体" w:asciiTheme="minorEastAsia" w:hAnsiTheme="minorEastAsia" w:eastAsiaTheme="minorEastAsia"/>
          <w:b/>
          <w:bCs/>
          <w:sz w:val="24"/>
          <w:szCs w:val="24"/>
          <w:lang w:val="en-US" w:eastAsia="zh-CN"/>
        </w:rPr>
        <w:t>一、二标段：</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响应人应具备承担本工程施工的资质条件、能力和信誉见前附表。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响应人不得存在下列情形之一：</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(l）为采购人不具有独立法人资格的附属机构（单位）；</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(2）为本磋商项目前期准备提供设计或咨询服务，但设计施工总承包的除外；</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(4）为本磋商项目的代建人；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(5）为本磋商项目提供采购代理服务的；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(6）与本磋商项目的监理人或代建人或采购代理机构同为一个法定代表人的；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(7）与本磋商项目的监理人或代建人或采购代理机构相互控股或参股的；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(8）与本磋商项目的监理人或代建人或采购代理机构相互任职或工作的；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(9）被责令停业的；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(10）被暂停或取消磋商资格的；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(12）在最近三年内有骗取成交或严重违约或重大质量问题的。</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1.5 费用承担</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响应人准备和参加磋商活动发生的费用自理。</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1.6 保密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参与磋商活动的各方应对磋商文件和响应文件中的商业和技术等秘密保密，违者应对由此造成的后果承担法律责任。</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1.7 语言文字</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除专用术语外，与采购磋商有关的语言均使用中文。必要时专用术语应附有中文注释。</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1.8 计量单位</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1.9 踏勘现场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1.10 磋商预备会</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1.11 分包</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不允许分包。</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1.12 偏离</w:t>
      </w:r>
    </w:p>
    <w:p>
      <w:pPr>
        <w:spacing w:line="520" w:lineRule="exact"/>
        <w:ind w:firstLine="480" w:firstLineChars="200"/>
        <w:rPr>
          <w:rFonts w:cs="宋体" w:asciiTheme="minorEastAsia" w:hAnsiTheme="minorEastAsia" w:eastAsiaTheme="minorEastAsia"/>
          <w:sz w:val="24"/>
          <w:szCs w:val="24"/>
        </w:rPr>
      </w:pPr>
      <w:bookmarkStart w:id="14" w:name="_Toc184635072"/>
      <w:bookmarkEnd w:id="14"/>
      <w:r>
        <w:rPr>
          <w:rFonts w:hint="eastAsia" w:cs="宋体" w:asciiTheme="minorEastAsia" w:hAnsiTheme="minorEastAsia" w:eastAsiaTheme="minorEastAsia"/>
          <w:sz w:val="24"/>
          <w:szCs w:val="24"/>
        </w:rPr>
        <w:t>不允许偏离</w:t>
      </w:r>
    </w:p>
    <w:p>
      <w:pPr>
        <w:keepNext/>
        <w:keepLines/>
        <w:spacing w:line="520" w:lineRule="exact"/>
        <w:ind w:left="851" w:hanging="284"/>
        <w:outlineLvl w:val="1"/>
        <w:rPr>
          <w:rFonts w:cs="宋体" w:asciiTheme="minorEastAsia" w:hAnsiTheme="minorEastAsia" w:eastAsiaTheme="minorEastAsia"/>
          <w:sz w:val="24"/>
          <w:szCs w:val="24"/>
        </w:rPr>
      </w:pPr>
      <w:bookmarkStart w:id="15" w:name="_Toc466566784"/>
      <w:bookmarkEnd w:id="15"/>
      <w:bookmarkStart w:id="16" w:name="_Toc17517"/>
      <w:bookmarkStart w:id="17" w:name="_Toc17642"/>
      <w:bookmarkStart w:id="18" w:name="_Toc23678"/>
      <w:bookmarkStart w:id="19" w:name="_Toc466566695"/>
      <w:r>
        <w:rPr>
          <w:rFonts w:hint="eastAsia" w:cs="宋体" w:asciiTheme="minorEastAsia" w:hAnsiTheme="minorEastAsia" w:eastAsiaTheme="minorEastAsia"/>
          <w:sz w:val="24"/>
          <w:szCs w:val="24"/>
        </w:rPr>
        <w:t>2．竞争性磋商文件</w:t>
      </w:r>
      <w:bookmarkEnd w:id="16"/>
      <w:bookmarkEnd w:id="17"/>
      <w:bookmarkEnd w:id="18"/>
      <w:bookmarkEnd w:id="19"/>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2.1 竞争性磋商文件的组成</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本竞争性磋商文件包括：</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(1）竞争性磋商公告；</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(2）响应人须知；</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(3）磋商办法；</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(4）合同条款及格式；</w:t>
      </w:r>
    </w:p>
    <w:p>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（5）工程量清单；</w:t>
      </w:r>
    </w:p>
    <w:p>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（6）技术要求；</w:t>
      </w:r>
    </w:p>
    <w:p>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(7）响应文件格式；</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对竞争性磋商文件所作的澄清、修改，构成竞争性文件的组成部分。</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2.2 竞争性磋商文件的澄清</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 响应人应自行查看澄清信息。</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2.3 竞争性磋商文件的修改</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 在磋商截止时间5天前，采购人可以修改竞争性磋商文件，并以变更公告形式通知所有已购买竞争性磋商文件的响应人。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pPr>
        <w:spacing w:line="360" w:lineRule="auto"/>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采购人和响应人受磋商截止期制约的所有权利和义务均应延长至新的截止日期。</w:t>
      </w:r>
      <w:bookmarkStart w:id="20" w:name="_Toc184635073"/>
      <w:bookmarkEnd w:id="20"/>
      <w:r>
        <w:rPr>
          <w:rFonts w:hint="eastAsia" w:cs="宋体" w:asciiTheme="minorEastAsia" w:hAnsiTheme="minorEastAsia" w:eastAsiaTheme="minorEastAsia"/>
          <w:b/>
          <w:bCs/>
          <w:sz w:val="24"/>
          <w:szCs w:val="24"/>
        </w:rPr>
        <w:t xml:space="preserve"> </w:t>
      </w:r>
    </w:p>
    <w:p>
      <w:pPr>
        <w:spacing w:line="360" w:lineRule="auto"/>
        <w:ind w:firstLine="482" w:firstLineChars="200"/>
        <w:outlineLvl w:val="1"/>
        <w:rPr>
          <w:rFonts w:cs="宋体" w:asciiTheme="minorEastAsia" w:hAnsiTheme="minorEastAsia" w:eastAsiaTheme="minorEastAsia"/>
          <w:b/>
          <w:bCs/>
          <w:kern w:val="0"/>
          <w:sz w:val="24"/>
          <w:szCs w:val="24"/>
        </w:rPr>
      </w:pPr>
      <w:bookmarkStart w:id="21" w:name="_Toc16335"/>
      <w:bookmarkStart w:id="22" w:name="_Toc10996"/>
      <w:bookmarkStart w:id="23" w:name="_Toc25817"/>
      <w:r>
        <w:rPr>
          <w:rFonts w:hint="eastAsia" w:cs="宋体" w:asciiTheme="minorEastAsia" w:hAnsiTheme="minorEastAsia" w:eastAsiaTheme="minorEastAsia"/>
          <w:b/>
          <w:bCs/>
          <w:kern w:val="0"/>
          <w:sz w:val="24"/>
          <w:szCs w:val="24"/>
        </w:rPr>
        <w:t>3．响应文件</w:t>
      </w:r>
      <w:bookmarkEnd w:id="21"/>
      <w:bookmarkEnd w:id="22"/>
      <w:bookmarkEnd w:id="23"/>
    </w:p>
    <w:p>
      <w:pPr>
        <w:keepNext/>
        <w:keepLines/>
        <w:spacing w:line="520" w:lineRule="exact"/>
        <w:ind w:firstLine="482" w:firstLineChars="200"/>
        <w:outlineLvl w:val="3"/>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 响应文件的组成</w:t>
      </w:r>
    </w:p>
    <w:p>
      <w:pPr>
        <w:ind w:firstLine="424" w:firstLineChars="176"/>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3.1.1 响应文件应包括下列内容：</w:t>
      </w:r>
    </w:p>
    <w:p>
      <w:pPr>
        <w:pStyle w:val="5"/>
        <w:ind w:firstLine="482" w:firstLineChars="200"/>
        <w:rPr>
          <w:rFonts w:hint="default" w:eastAsiaTheme="minorEastAsia"/>
          <w:lang w:val="en-US" w:eastAsia="zh-CN"/>
        </w:rPr>
      </w:pPr>
      <w:r>
        <w:rPr>
          <w:rFonts w:hint="eastAsia" w:cs="宋体" w:asciiTheme="minorEastAsia" w:hAnsiTheme="minorEastAsia" w:eastAsiaTheme="minorEastAsia"/>
          <w:b/>
          <w:bCs/>
          <w:sz w:val="24"/>
          <w:szCs w:val="24"/>
          <w:lang w:val="en-US" w:eastAsia="zh-CN"/>
        </w:rPr>
        <w:t>一、二标段：</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磋商函及磋商函附录</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法定代表人身份证明</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授权委托书</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磋商承诺函</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已标价工程量清单</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施工组织设计</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项目管理机构</w:t>
      </w:r>
    </w:p>
    <w:p>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资格审查资料</w:t>
      </w:r>
    </w:p>
    <w:p>
      <w:pPr>
        <w:spacing w:line="520" w:lineRule="exact"/>
        <w:ind w:firstLine="480" w:firstLineChars="200"/>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响应人认为需要提供的其他材料</w:t>
      </w:r>
    </w:p>
    <w:p>
      <w:pPr>
        <w:pStyle w:val="5"/>
        <w:ind w:firstLine="241" w:firstLineChars="100"/>
        <w:rPr>
          <w:rFonts w:hint="eastAsia" w:cs="宋体" w:asciiTheme="minorEastAsia" w:hAnsiTheme="minorEastAsia" w:eastAsiaTheme="minorEastAsia"/>
          <w:b/>
          <w:bCs/>
          <w:sz w:val="24"/>
          <w:lang w:val="en-US" w:eastAsia="zh-CN"/>
        </w:rPr>
      </w:pPr>
      <w:r>
        <w:rPr>
          <w:rFonts w:hint="eastAsia" w:cs="宋体" w:asciiTheme="minorEastAsia" w:hAnsiTheme="minorEastAsia" w:eastAsiaTheme="minorEastAsia"/>
          <w:b/>
          <w:bCs/>
          <w:sz w:val="24"/>
          <w:lang w:val="en-US" w:eastAsia="zh-CN"/>
        </w:rPr>
        <w:t>三标段：</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1</w:t>
      </w:r>
      <w:r>
        <w:rPr>
          <w:rFonts w:hint="eastAsia" w:ascii="宋体" w:hAnsi="宋体"/>
          <w:sz w:val="24"/>
          <w:shd w:val="clear" w:color="auto" w:fill="FFFFFF" w:themeFill="background1"/>
        </w:rPr>
        <w:t>、投标函、竞争性磋商报价表</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2</w:t>
      </w:r>
      <w:r>
        <w:rPr>
          <w:rFonts w:hint="eastAsia" w:ascii="宋体" w:hAnsi="宋体"/>
          <w:sz w:val="24"/>
          <w:shd w:val="clear" w:color="auto" w:fill="FFFFFF" w:themeFill="background1"/>
        </w:rPr>
        <w:t>、法定代表人身份证明及授权委托书</w:t>
      </w:r>
      <w:r>
        <w:rPr>
          <w:rFonts w:hint="eastAsia" w:ascii="宋体" w:hAnsi="宋体"/>
          <w:sz w:val="24"/>
          <w:shd w:val="clear" w:color="auto" w:fill="FFFFFF" w:themeFill="background1"/>
        </w:rPr>
        <w:tab/>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3</w:t>
      </w:r>
      <w:r>
        <w:rPr>
          <w:rFonts w:hint="eastAsia" w:ascii="宋体" w:hAnsi="宋体"/>
          <w:sz w:val="24"/>
          <w:shd w:val="clear" w:color="auto" w:fill="FFFFFF" w:themeFill="background1"/>
        </w:rPr>
        <w:t>、报价一览表</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4</w:t>
      </w:r>
      <w:r>
        <w:rPr>
          <w:rFonts w:hint="eastAsia" w:ascii="宋体" w:hAnsi="宋体"/>
          <w:sz w:val="24"/>
          <w:shd w:val="clear" w:color="auto" w:fill="FFFFFF" w:themeFill="background1"/>
        </w:rPr>
        <w:t>、技术偏离表</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5</w:t>
      </w:r>
      <w:r>
        <w:rPr>
          <w:rFonts w:hint="eastAsia" w:ascii="宋体" w:hAnsi="宋体"/>
          <w:sz w:val="24"/>
          <w:shd w:val="clear" w:color="auto" w:fill="FFFFFF" w:themeFill="background1"/>
        </w:rPr>
        <w:t>、供货方案</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6</w:t>
      </w:r>
      <w:r>
        <w:rPr>
          <w:rFonts w:hint="eastAsia" w:ascii="宋体" w:hAnsi="宋体"/>
          <w:sz w:val="24"/>
          <w:shd w:val="clear" w:color="auto" w:fill="FFFFFF" w:themeFill="background1"/>
        </w:rPr>
        <w:t>、优惠承诺及售后服务水平及承诺</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7</w:t>
      </w:r>
      <w:r>
        <w:rPr>
          <w:rFonts w:hint="eastAsia" w:ascii="宋体" w:hAnsi="宋体"/>
          <w:sz w:val="24"/>
          <w:shd w:val="clear" w:color="auto" w:fill="FFFFFF" w:themeFill="background1"/>
        </w:rPr>
        <w:t>、政府采购政策</w:t>
      </w:r>
    </w:p>
    <w:p>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lang w:val="en-US" w:eastAsia="zh-CN"/>
        </w:rPr>
        <w:t>8</w:t>
      </w:r>
      <w:r>
        <w:rPr>
          <w:rFonts w:hint="eastAsia" w:ascii="宋体" w:hAnsi="宋体"/>
          <w:sz w:val="24"/>
          <w:shd w:val="clear" w:color="auto" w:fill="FFFFFF" w:themeFill="background1"/>
        </w:rPr>
        <w:t>、资格审查资料</w:t>
      </w:r>
    </w:p>
    <w:p>
      <w:pPr>
        <w:spacing w:line="360" w:lineRule="auto"/>
        <w:ind w:firstLine="480" w:firstLineChars="200"/>
        <w:contextualSpacing/>
        <w:rPr>
          <w:rFonts w:hint="eastAsia"/>
          <w:lang w:val="en-US" w:eastAsia="zh-CN"/>
        </w:rPr>
      </w:pPr>
      <w:r>
        <w:rPr>
          <w:rFonts w:hint="eastAsia" w:ascii="宋体" w:hAnsi="宋体"/>
          <w:sz w:val="24"/>
          <w:shd w:val="clear" w:color="auto" w:fill="FFFFFF" w:themeFill="background1"/>
          <w:lang w:val="en-US" w:eastAsia="zh-CN"/>
        </w:rPr>
        <w:t>9</w:t>
      </w:r>
      <w:r>
        <w:rPr>
          <w:rFonts w:hint="eastAsia" w:ascii="宋体" w:hAnsi="宋体"/>
          <w:sz w:val="24"/>
          <w:shd w:val="clear" w:color="auto" w:fill="FFFFFF" w:themeFill="background1"/>
        </w:rPr>
        <w:t>、其他材料</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pPr>
        <w:keepNext/>
        <w:keepLines/>
        <w:spacing w:line="520" w:lineRule="exact"/>
        <w:ind w:firstLine="482" w:firstLineChars="200"/>
        <w:outlineLvl w:val="3"/>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 磋商报价</w:t>
      </w:r>
    </w:p>
    <w:p>
      <w:pPr>
        <w:spacing w:line="336" w:lineRule="auto"/>
        <w:ind w:firstLine="480" w:firstLineChars="200"/>
        <w:rPr>
          <w:rFonts w:asciiTheme="minorEastAsia" w:hAnsiTheme="minorEastAsia" w:eastAsiaTheme="minorEastAsia"/>
          <w:sz w:val="24"/>
          <w:szCs w:val="24"/>
        </w:rPr>
      </w:pPr>
      <w:r>
        <w:rPr>
          <w:rFonts w:cs="_5b8b_4f53" w:asciiTheme="minorEastAsia" w:hAnsiTheme="minorEastAsia" w:eastAsiaTheme="minorEastAsia"/>
          <w:bCs/>
          <w:sz w:val="24"/>
          <w:szCs w:val="24"/>
        </w:rPr>
        <w:t>3</w:t>
      </w:r>
      <w:r>
        <w:rPr>
          <w:rFonts w:hint="eastAsia" w:cs="_5b8b_4f53" w:asciiTheme="minorEastAsia" w:hAnsiTheme="minorEastAsia" w:eastAsiaTheme="minorEastAsia"/>
          <w:bCs/>
          <w:sz w:val="24"/>
          <w:szCs w:val="24"/>
        </w:rPr>
        <w:t>.</w:t>
      </w:r>
      <w:r>
        <w:rPr>
          <w:rFonts w:cs="_5b8b_4f53" w:asciiTheme="minorEastAsia" w:hAnsiTheme="minorEastAsia" w:eastAsiaTheme="minorEastAsia"/>
          <w:bCs/>
          <w:sz w:val="24"/>
          <w:szCs w:val="24"/>
        </w:rPr>
        <w:t>2.</w:t>
      </w:r>
      <w:r>
        <w:rPr>
          <w:rFonts w:hint="eastAsia" w:cs="_5b8b_4f53" w:asciiTheme="minorEastAsia" w:hAnsiTheme="minorEastAsia" w:eastAsiaTheme="minorEastAsia"/>
          <w:bCs/>
          <w:sz w:val="24"/>
          <w:szCs w:val="24"/>
        </w:rPr>
        <w:t>1</w:t>
      </w:r>
      <w:r>
        <w:rPr>
          <w:rFonts w:hint="eastAsia" w:asciiTheme="minorEastAsia" w:hAnsiTheme="minorEastAsia" w:eastAsiaTheme="minorEastAsia"/>
          <w:sz w:val="24"/>
          <w:szCs w:val="24"/>
        </w:rPr>
        <w:t>响应人的报价应含有所投项目、税费、交付后约定期限内免费后续工程等所发生的一切应有费用。</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3.2.3</w:t>
      </w:r>
      <w:r>
        <w:rPr>
          <w:rFonts w:hint="eastAsia" w:asciiTheme="minorEastAsia" w:hAnsiTheme="minorEastAsia" w:eastAsiaTheme="minorEastAsia"/>
          <w:sz w:val="24"/>
          <w:szCs w:val="24"/>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r>
        <w:rPr>
          <w:rFonts w:asciiTheme="minorEastAsia" w:hAnsiTheme="minorEastAsia" w:eastAsiaTheme="minorEastAsia"/>
          <w:sz w:val="24"/>
          <w:szCs w:val="24"/>
        </w:rPr>
        <w:t xml:space="preserve"> </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5 全部报价均应以人民币为计量币种，并以人民币进行结算。</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3.2.7施工期间由于工程条件发生变化或响应人原因造成技术方案的更改，所增加的措施费用及服务周期一概不予调整，相应的费用响应人应在磋商报价中充分考虑，采购人不另支付。</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3.2.8增值税属不可竞争费用，如违背国家税收规定的，对未按规定计取增值税的响应人，其磋商报价按低于成本价处理。</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磋商有效期</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在响应人须知前附表规定的磋商有效期内，响应人不得要求撤销或修改其响应文件。</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出现特殊情况需要延长磋商有效期的，采购人以书面形式通知所有响应人延长磋商有效期。响应人同意延长的，不得要求或被允许修改或撤销其响应文件；响应人拒绝延长的，其磋商失效。</w:t>
      </w:r>
    </w:p>
    <w:p>
      <w:pPr>
        <w:keepNext/>
        <w:keepLines/>
        <w:spacing w:line="520" w:lineRule="exact"/>
        <w:ind w:firstLine="482" w:firstLineChars="200"/>
        <w:outlineLvl w:val="3"/>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3.4 磋商</w:t>
      </w:r>
      <w:r>
        <w:rPr>
          <w:rFonts w:hint="eastAsia" w:cs="宋体" w:asciiTheme="minorEastAsia" w:hAnsiTheme="minorEastAsia" w:eastAsiaTheme="minorEastAsia"/>
          <w:b/>
          <w:bCs/>
          <w:sz w:val="24"/>
          <w:szCs w:val="24"/>
        </w:rPr>
        <w:t>保证金</w:t>
      </w:r>
      <w:r>
        <w:rPr>
          <w:rFonts w:hint="eastAsia" w:cs="宋体" w:asciiTheme="minorEastAsia" w:hAnsiTheme="minorEastAsia" w:eastAsiaTheme="minorEastAsia"/>
          <w:b/>
          <w:sz w:val="24"/>
          <w:szCs w:val="24"/>
        </w:rPr>
        <w:t>：</w:t>
      </w:r>
    </w:p>
    <w:p>
      <w:pPr>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rPr>
        <w:t>按照《河南省财政厅关于</w:t>
      </w:r>
      <w:r>
        <w:rPr>
          <w:rFonts w:hint="eastAsia" w:cs="宋体" w:asciiTheme="minorEastAsia" w:hAnsiTheme="minorEastAsia" w:eastAsiaTheme="minorEastAsia"/>
          <w:kern w:val="0"/>
          <w:sz w:val="24"/>
          <w:szCs w:val="24"/>
        </w:rPr>
        <w:t>优化政府采购营商环境有关问题的通知》（豫财购[2020]4号文）的要求本项目不再收取磋商保证金。</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3.5 资格审查资料</w:t>
      </w:r>
    </w:p>
    <w:p>
      <w:pPr>
        <w:keepNext/>
        <w:keepLines/>
        <w:spacing w:line="520" w:lineRule="exact"/>
        <w:ind w:firstLine="480" w:firstLineChars="200"/>
        <w:outlineLvl w:val="3"/>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详见竞争性磋商公告</w:t>
      </w:r>
    </w:p>
    <w:p>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3.6 响应文件的编制</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3.6.1 响应文件应按第八章“响应文件格式”进行编写，如有必要，可以增加附页，作为响应文件的组成部分。其中，磋商函附录在满足磋商文件实质性要求的基础上，可以提出比磋商文件要求更有利于采购人的承诺。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响应文件应当对磋商文件有关计划工期、磋商有效期、质量要求、磋商范围等实质性内容作出响应。</w:t>
      </w:r>
    </w:p>
    <w:p>
      <w:pPr>
        <w:spacing w:line="52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3.7 响应文件的签署</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3.7.1电子响应文件必须上传电子评标系统</w:t>
      </w:r>
      <w:r>
        <w:rPr>
          <w:rFonts w:hint="eastAsia" w:cs="宋体" w:asciiTheme="minorEastAsia" w:hAnsiTheme="minorEastAsia" w:eastAsiaTheme="minorEastAsia"/>
          <w:b/>
          <w:bCs/>
          <w:sz w:val="24"/>
          <w:szCs w:val="24"/>
        </w:rPr>
        <w:t>。</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3.7.2电子响应文件由响应人的法定代表人签字或盖章。</w:t>
      </w:r>
      <w:bookmarkStart w:id="24" w:name="_Toc184635074"/>
      <w:bookmarkEnd w:id="24"/>
    </w:p>
    <w:p>
      <w:pPr>
        <w:numPr>
          <w:ilvl w:val="0"/>
          <w:numId w:val="2"/>
        </w:numPr>
        <w:spacing w:line="520" w:lineRule="exact"/>
        <w:ind w:firstLine="482" w:firstLineChars="200"/>
        <w:outlineLvl w:val="1"/>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文件的递交</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4.1电子响应文件的递交</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4.1.1响应人应在规定的磋商截止时间前递交响应文件。</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4.1.2响应人递交响应文件的地点：见响应人须知前附表。</w:t>
      </w:r>
      <w:bookmarkStart w:id="25" w:name="_Toc466566696"/>
      <w:bookmarkEnd w:id="25"/>
      <w:bookmarkStart w:id="26" w:name="_Toc466566785"/>
      <w:bookmarkEnd w:id="26"/>
      <w:bookmarkStart w:id="27" w:name="_Toc184635075"/>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4.1.3 逾期送达或者未送达指定地点的响应文件，采购人不予受理。</w:t>
      </w:r>
      <w:bookmarkEnd w:id="27"/>
    </w:p>
    <w:p>
      <w:pPr>
        <w:spacing w:line="520" w:lineRule="exact"/>
        <w:ind w:firstLine="482" w:firstLineChars="200"/>
        <w:outlineLvl w:val="1"/>
        <w:rPr>
          <w:rFonts w:cs="宋体" w:asciiTheme="minorEastAsia" w:hAnsiTheme="minorEastAsia" w:eastAsiaTheme="minorEastAsia"/>
          <w:b/>
          <w:bCs/>
          <w:sz w:val="24"/>
          <w:szCs w:val="24"/>
        </w:rPr>
      </w:pPr>
      <w:bookmarkStart w:id="28" w:name="_Toc27427"/>
      <w:bookmarkStart w:id="29" w:name="_Toc23682"/>
      <w:bookmarkStart w:id="30" w:name="_Toc2978"/>
      <w:r>
        <w:rPr>
          <w:rFonts w:hint="eastAsia" w:cs="宋体" w:asciiTheme="minorEastAsia" w:hAnsiTheme="minorEastAsia" w:eastAsiaTheme="minorEastAsia"/>
          <w:b/>
          <w:bCs/>
          <w:sz w:val="24"/>
          <w:szCs w:val="24"/>
        </w:rPr>
        <w:t>5．磋商</w:t>
      </w:r>
      <w:bookmarkEnd w:id="28"/>
      <w:bookmarkEnd w:id="29"/>
      <w:bookmarkEnd w:id="30"/>
      <w:r>
        <w:rPr>
          <w:rFonts w:hint="eastAsia" w:cs="宋体" w:asciiTheme="minorEastAsia" w:hAnsiTheme="minorEastAsia" w:eastAsiaTheme="minorEastAsia"/>
          <w:b/>
          <w:bCs/>
          <w:sz w:val="24"/>
          <w:szCs w:val="24"/>
        </w:rPr>
        <w:t>时间和地点</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磋商时间和地点</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采购人在本磋商文件规定的响应文件递交截止时间（磋商时间）和地点竞争性磋商。</w:t>
      </w:r>
    </w:p>
    <w:p>
      <w:pPr>
        <w:spacing w:line="5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5.2  磋商程序</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5.2.1采购人按须知前附表规定的时间和地点磋商；</w:t>
      </w:r>
    </w:p>
    <w:p>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5.2.2本项目采用</w:t>
      </w:r>
      <w:r>
        <w:rPr>
          <w:rFonts w:hint="eastAsia" w:cs="宋体" w:asciiTheme="minorEastAsia" w:hAnsiTheme="minorEastAsia" w:eastAsiaTheme="minorEastAsia"/>
          <w:b/>
          <w:bCs/>
          <w:sz w:val="24"/>
          <w:szCs w:val="24"/>
        </w:rPr>
        <w:t>电子化、无纸化</w:t>
      </w:r>
      <w:r>
        <w:rPr>
          <w:rFonts w:hint="eastAsia" w:cs="宋体" w:asciiTheme="minorEastAsia" w:hAnsiTheme="minorEastAsia" w:eastAsiaTheme="minorEastAsia"/>
          <w:sz w:val="24"/>
          <w:szCs w:val="24"/>
        </w:rPr>
        <w:t>进行磋商；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5.2.3响应文件有下列情况之一的,采购人将不予接收：</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5.2.3.1响应文件递交截止时间后上传的；</w:t>
      </w:r>
    </w:p>
    <w:p>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5.2.4按照响应文件上传顺序进行解密；</w:t>
      </w:r>
    </w:p>
    <w:p>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5.2.5经确认无误后，按照报送时间顺序确定磋商顺序；</w:t>
      </w:r>
    </w:p>
    <w:p>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5.2.6磋商时响应人可登录到交易系统中在磋商解密栏中点击磋商一览表查看自己的磋商报价。如对磋商过程有异议的，应在响应人解密成功后20分钟内向中介服务机构电话质疑。</w:t>
      </w:r>
    </w:p>
    <w:p>
      <w:pPr>
        <w:spacing w:line="520" w:lineRule="exact"/>
        <w:ind w:firstLine="482" w:firstLineChars="200"/>
        <w:outlineLvl w:val="1"/>
        <w:rPr>
          <w:rFonts w:cs="宋体" w:asciiTheme="minorEastAsia" w:hAnsiTheme="minorEastAsia" w:eastAsiaTheme="minorEastAsia"/>
          <w:b/>
          <w:bCs/>
          <w:kern w:val="28"/>
          <w:sz w:val="24"/>
          <w:szCs w:val="24"/>
        </w:rPr>
      </w:pPr>
      <w:bookmarkStart w:id="31" w:name="_Toc15884"/>
      <w:bookmarkStart w:id="32" w:name="_Toc7091"/>
      <w:bookmarkStart w:id="33" w:name="_Toc23857"/>
      <w:r>
        <w:rPr>
          <w:rFonts w:hint="eastAsia" w:cs="宋体" w:asciiTheme="minorEastAsia" w:hAnsiTheme="minorEastAsia" w:eastAsiaTheme="minorEastAsia"/>
          <w:b/>
          <w:bCs/>
          <w:kern w:val="28"/>
          <w:sz w:val="24"/>
          <w:szCs w:val="24"/>
        </w:rPr>
        <w:t>6. 磋商细则</w:t>
      </w:r>
      <w:bookmarkEnd w:id="31"/>
      <w:bookmarkEnd w:id="32"/>
      <w:bookmarkEnd w:id="33"/>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6.1采购人按照上传响应文件时间的顺序，决定磋商顺序；</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6.3本次磋商中，响应文件中的磋商报价为第一次报价。</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6.4响应人可以在磋商小组规定的时间内进行第二次报价，通过交易中心系统以电子形式递交，第二次报价为最终报价。</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6.5本项目采用综合评分法，磋商小组成员综合评审各响应人提交的响应文件，按总得分由高到低的顺序推荐3名成交候选人，并编写评审报告。</w:t>
      </w:r>
    </w:p>
    <w:p>
      <w:pPr>
        <w:spacing w:line="520" w:lineRule="exact"/>
        <w:ind w:firstLine="482" w:firstLineChars="200"/>
        <w:outlineLvl w:val="1"/>
        <w:rPr>
          <w:rFonts w:cs="宋体" w:asciiTheme="minorEastAsia" w:hAnsiTheme="minorEastAsia" w:eastAsiaTheme="minorEastAsia"/>
          <w:b/>
          <w:bCs/>
          <w:sz w:val="24"/>
          <w:szCs w:val="24"/>
        </w:rPr>
      </w:pPr>
      <w:bookmarkStart w:id="34" w:name="_Toc21922"/>
      <w:bookmarkStart w:id="35" w:name="_Toc26867"/>
      <w:bookmarkStart w:id="36" w:name="_Toc10240"/>
      <w:r>
        <w:rPr>
          <w:rFonts w:hint="eastAsia" w:cs="宋体" w:asciiTheme="minorEastAsia" w:hAnsiTheme="minorEastAsia" w:eastAsiaTheme="minorEastAsia"/>
          <w:b/>
          <w:bCs/>
          <w:sz w:val="24"/>
          <w:szCs w:val="24"/>
        </w:rPr>
        <w:t>7、磋商</w:t>
      </w:r>
      <w:bookmarkEnd w:id="34"/>
      <w:bookmarkEnd w:id="35"/>
      <w:bookmarkEnd w:id="36"/>
      <w:r>
        <w:rPr>
          <w:rFonts w:hint="eastAsia" w:cs="宋体" w:asciiTheme="minorEastAsia" w:hAnsiTheme="minorEastAsia" w:eastAsiaTheme="minorEastAsia"/>
          <w:b/>
          <w:bCs/>
          <w:sz w:val="24"/>
          <w:szCs w:val="24"/>
        </w:rPr>
        <w:t>小组</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7</w:t>
      </w:r>
      <w:r>
        <w:rPr>
          <w:rFonts w:hint="eastAsia" w:cs="宋体" w:asciiTheme="minorEastAsia" w:hAnsiTheme="minorEastAsia" w:eastAsiaTheme="minorEastAsia"/>
          <w:sz w:val="24"/>
          <w:szCs w:val="24"/>
        </w:rPr>
        <w:t>.1磋商小组由采购人依法组建，负责磋商。根据《政府采购竞争性磋商采购方式管理办法》的规定，磋商小组应当履行以下义务：</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（一）遵纪守法，客观、公正、廉洁地履行职责；</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（二）根据竞争性磋商文件的规定独立进行评审，对个人的评审意见承担法律责任；</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（三）参与磋商报告的起草；</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（四）配合采购人、采购代理机构答复响应标人提出的质疑；</w:t>
      </w:r>
    </w:p>
    <w:p>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（五）配合财政部门的投诉处理和监督检查工作。</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7.2磋商小组由有关技术、经济方面的专家组成。磋商小组人数及技术、经济专家的确定方式见响应标人须知前附表。</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 磋商原则</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7.3.1严格按照竞争性磋商文件中的所有相关规定；按照“公平、公正、科学”的原则进行磋商。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7.3.2反对不正当竞争。</w:t>
      </w:r>
    </w:p>
    <w:p>
      <w:pPr>
        <w:spacing w:line="520" w:lineRule="exact"/>
        <w:ind w:firstLine="482" w:firstLineChars="200"/>
        <w:outlineLvl w:val="1"/>
        <w:rPr>
          <w:rFonts w:cs="宋体" w:asciiTheme="minorEastAsia" w:hAnsiTheme="minorEastAsia" w:eastAsiaTheme="minorEastAsia"/>
          <w:b/>
          <w:bCs/>
          <w:sz w:val="24"/>
          <w:szCs w:val="24"/>
        </w:rPr>
      </w:pPr>
      <w:bookmarkStart w:id="37" w:name="_Toc18474"/>
      <w:bookmarkStart w:id="38" w:name="_Toc12301"/>
      <w:bookmarkStart w:id="39" w:name="_Toc2977"/>
      <w:r>
        <w:rPr>
          <w:rFonts w:hint="eastAsia" w:cs="宋体" w:asciiTheme="minorEastAsia" w:hAnsiTheme="minorEastAsia" w:eastAsiaTheme="minorEastAsia"/>
          <w:b/>
          <w:bCs/>
          <w:sz w:val="24"/>
          <w:szCs w:val="24"/>
        </w:rPr>
        <w:t>8、磋商过程的保密</w:t>
      </w:r>
      <w:bookmarkEnd w:id="37"/>
      <w:bookmarkEnd w:id="38"/>
      <w:bookmarkEnd w:id="39"/>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8.1响应文件的审查、澄清、评价和比较的有关资料以及成交候选人的推荐情况，与磋商有关的其他任何情况均应严格保密。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8.2在响应文件的评审和比较、成交候选人推荐以及授予合同的过程中，响应人向采购人和磋商小组施加影响的任何行为，都将会导致其磋商被拒绝。</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8.3采购人不对未成交人就磋商过程以及未能成交原因作出任何解释。未成交人不得向磋商小组成员和其他有关人员索问磋商过程的情况和资料。</w:t>
      </w:r>
    </w:p>
    <w:p>
      <w:pPr>
        <w:spacing w:line="520" w:lineRule="exact"/>
        <w:ind w:firstLine="482" w:firstLineChars="200"/>
        <w:outlineLvl w:val="1"/>
        <w:rPr>
          <w:rFonts w:cs="宋体" w:asciiTheme="minorEastAsia" w:hAnsiTheme="minorEastAsia" w:eastAsiaTheme="minorEastAsia"/>
          <w:b/>
          <w:bCs/>
          <w:sz w:val="24"/>
          <w:szCs w:val="24"/>
        </w:rPr>
      </w:pPr>
      <w:bookmarkStart w:id="40" w:name="_Toc10668"/>
      <w:bookmarkStart w:id="41" w:name="_Toc24402"/>
      <w:bookmarkStart w:id="42" w:name="_Toc10832"/>
      <w:r>
        <w:rPr>
          <w:rFonts w:hint="eastAsia" w:cs="宋体" w:asciiTheme="minorEastAsia" w:hAnsiTheme="minorEastAsia" w:eastAsiaTheme="minorEastAsia"/>
          <w:b/>
          <w:bCs/>
          <w:sz w:val="24"/>
          <w:szCs w:val="24"/>
        </w:rPr>
        <w:t>9、响应文件的澄清</w:t>
      </w:r>
      <w:bookmarkEnd w:id="40"/>
      <w:bookmarkEnd w:id="41"/>
      <w:bookmarkEnd w:id="42"/>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pPr>
        <w:spacing w:line="520" w:lineRule="exact"/>
        <w:ind w:firstLine="482" w:firstLineChars="200"/>
        <w:outlineLvl w:val="1"/>
        <w:rPr>
          <w:rFonts w:cs="宋体" w:asciiTheme="minorEastAsia" w:hAnsiTheme="minorEastAsia" w:eastAsiaTheme="minorEastAsia"/>
          <w:b/>
          <w:bCs/>
          <w:sz w:val="24"/>
          <w:szCs w:val="24"/>
        </w:rPr>
      </w:pPr>
      <w:bookmarkStart w:id="43" w:name="_Toc10092"/>
      <w:bookmarkStart w:id="44" w:name="_Toc26096"/>
      <w:bookmarkStart w:id="45" w:name="_Toc7780"/>
      <w:r>
        <w:rPr>
          <w:rFonts w:hint="eastAsia" w:cs="宋体" w:asciiTheme="minorEastAsia" w:hAnsiTheme="minorEastAsia" w:eastAsiaTheme="minorEastAsia"/>
          <w:b/>
          <w:bCs/>
          <w:sz w:val="24"/>
          <w:szCs w:val="24"/>
        </w:rPr>
        <w:t>10、响应文件的初步评审</w:t>
      </w:r>
      <w:bookmarkEnd w:id="43"/>
      <w:bookmarkEnd w:id="44"/>
      <w:bookmarkEnd w:id="45"/>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10.1根据初步评审要求经审查有效的响应文件，才能提交磋商小组进行评审。</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10.3如果响应文件实质上不响应竞争性磋商文件的要求，采购人将予以拒绝，并且不允许响应人通过修改或撤消其不符合要求的差异或保留，使之成为具有响应性的磋商。</w:t>
      </w:r>
    </w:p>
    <w:p>
      <w:pPr>
        <w:spacing w:line="520" w:lineRule="exact"/>
        <w:ind w:firstLine="482" w:firstLineChars="200"/>
        <w:outlineLvl w:val="1"/>
        <w:rPr>
          <w:rFonts w:cs="宋体" w:asciiTheme="minorEastAsia" w:hAnsiTheme="minorEastAsia" w:eastAsiaTheme="minorEastAsia"/>
          <w:b/>
          <w:bCs/>
          <w:sz w:val="24"/>
          <w:szCs w:val="24"/>
        </w:rPr>
      </w:pPr>
      <w:bookmarkStart w:id="46" w:name="_Toc23151"/>
      <w:bookmarkStart w:id="47" w:name="_Toc10938"/>
      <w:bookmarkStart w:id="48" w:name="_Toc4879"/>
      <w:r>
        <w:rPr>
          <w:rFonts w:hint="eastAsia" w:cs="宋体" w:asciiTheme="minorEastAsia" w:hAnsiTheme="minorEastAsia" w:eastAsiaTheme="minorEastAsia"/>
          <w:b/>
          <w:bCs/>
          <w:sz w:val="24"/>
          <w:szCs w:val="24"/>
        </w:rPr>
        <w:t>11.响应文件计算错误的修正</w:t>
      </w:r>
      <w:bookmarkEnd w:id="46"/>
      <w:bookmarkEnd w:id="47"/>
      <w:bookmarkEnd w:id="48"/>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11.1磋商小组将对确定为实质上响应竞争性磋商文件要求的响应文件进行校核，看其是否有计算或表达上的错误，修正错误的原则如下：</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11.1.1如果数字表示的金额和用文字表示的金额不一致时，应以文字表示的金额为准；</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11.1.2当单价与数量的乘积与合价不一致时，以单价为准，除非磋商小组认为单价有明显的小数点错误，此时应以标出的合价为准，并修改单价。</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pPr>
        <w:spacing w:line="520" w:lineRule="exact"/>
        <w:ind w:firstLine="482" w:firstLineChars="200"/>
        <w:outlineLvl w:val="1"/>
        <w:rPr>
          <w:rFonts w:cs="宋体" w:asciiTheme="minorEastAsia" w:hAnsiTheme="minorEastAsia" w:eastAsiaTheme="minorEastAsia"/>
          <w:b/>
          <w:bCs/>
          <w:sz w:val="24"/>
          <w:szCs w:val="24"/>
        </w:rPr>
      </w:pPr>
      <w:bookmarkStart w:id="49" w:name="_Toc25476"/>
      <w:bookmarkStart w:id="50" w:name="_Toc21245"/>
      <w:bookmarkStart w:id="51" w:name="_Toc7158"/>
      <w:r>
        <w:rPr>
          <w:rFonts w:hint="eastAsia" w:cs="宋体" w:asciiTheme="minorEastAsia" w:hAnsiTheme="minorEastAsia" w:eastAsiaTheme="minorEastAsia"/>
          <w:b/>
          <w:bCs/>
          <w:sz w:val="24"/>
          <w:szCs w:val="24"/>
        </w:rPr>
        <w:t>12. 响应文件的评审、比较和否决</w:t>
      </w:r>
      <w:bookmarkEnd w:id="49"/>
      <w:bookmarkEnd w:id="50"/>
      <w:bookmarkEnd w:id="51"/>
    </w:p>
    <w:p>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12.1磋商小组仅对在实质上响应竞争性磋商文件要求的响应文件进行评估和比较。</w:t>
      </w:r>
    </w:p>
    <w:p>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12.3在首轮磋商的基础上，磋商小组讨论、分析、综合各种因素后，决定是否与各方再次进行磋商。 </w:t>
      </w:r>
    </w:p>
    <w:p>
      <w:pPr>
        <w:spacing w:line="520" w:lineRule="exact"/>
        <w:ind w:firstLine="482" w:firstLineChars="200"/>
        <w:outlineLvl w:val="1"/>
        <w:rPr>
          <w:rFonts w:cs="宋体" w:asciiTheme="minorEastAsia" w:hAnsiTheme="minorEastAsia" w:eastAsiaTheme="minorEastAsia"/>
          <w:b/>
          <w:bCs/>
          <w:sz w:val="24"/>
          <w:szCs w:val="24"/>
        </w:rPr>
      </w:pPr>
      <w:bookmarkStart w:id="52" w:name="_Toc12637"/>
      <w:bookmarkStart w:id="53" w:name="_Toc29453"/>
      <w:bookmarkStart w:id="54" w:name="_Toc12402"/>
      <w:r>
        <w:rPr>
          <w:rFonts w:hint="eastAsia" w:cs="宋体" w:asciiTheme="minorEastAsia" w:hAnsiTheme="minorEastAsia" w:eastAsiaTheme="minorEastAsia"/>
          <w:b/>
          <w:bCs/>
          <w:sz w:val="24"/>
          <w:szCs w:val="24"/>
        </w:rPr>
        <w:t>13、成交候选人确定、中标通知书发出</w:t>
      </w:r>
      <w:bookmarkEnd w:id="52"/>
      <w:bookmarkEnd w:id="53"/>
      <w:bookmarkEnd w:id="54"/>
    </w:p>
    <w:p>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采购人和其委托代理机构，在政府采购项目评审结束之日起2个工作日内完成评标报告报送、成交人的确认、成交结果公告的发布、成交通知书的发出等工作。</w:t>
      </w:r>
    </w:p>
    <w:p>
      <w:pPr>
        <w:spacing w:line="520" w:lineRule="exact"/>
        <w:ind w:firstLine="482" w:firstLineChars="200"/>
        <w:outlineLvl w:val="1"/>
        <w:rPr>
          <w:rFonts w:cs="宋体" w:asciiTheme="minorEastAsia" w:hAnsiTheme="minorEastAsia" w:eastAsiaTheme="minorEastAsia"/>
          <w:b/>
          <w:bCs/>
          <w:sz w:val="24"/>
          <w:szCs w:val="24"/>
        </w:rPr>
      </w:pPr>
      <w:bookmarkStart w:id="55" w:name="_Toc29111"/>
      <w:bookmarkStart w:id="56" w:name="_Toc11920"/>
      <w:bookmarkStart w:id="57" w:name="_Toc8080"/>
      <w:r>
        <w:rPr>
          <w:rFonts w:hint="eastAsia" w:cs="宋体" w:asciiTheme="minorEastAsia" w:hAnsiTheme="minorEastAsia" w:eastAsiaTheme="minorEastAsia"/>
          <w:b/>
          <w:bCs/>
          <w:sz w:val="24"/>
          <w:szCs w:val="24"/>
        </w:rPr>
        <w:t>14、合同的授予</w:t>
      </w:r>
      <w:bookmarkEnd w:id="55"/>
      <w:bookmarkEnd w:id="56"/>
      <w:bookmarkEnd w:id="57"/>
    </w:p>
    <w:p>
      <w:pPr>
        <w:spacing w:line="5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14.1成交</w:t>
      </w:r>
      <w:r>
        <w:rPr>
          <w:rFonts w:hint="eastAsia" w:cs="宋体" w:asciiTheme="minorEastAsia" w:hAnsiTheme="minorEastAsia" w:eastAsiaTheme="minorEastAsia"/>
          <w:sz w:val="24"/>
          <w:szCs w:val="24"/>
        </w:rPr>
        <w:t>单位</w:t>
      </w:r>
      <w:r>
        <w:rPr>
          <w:rFonts w:cs="宋体" w:asciiTheme="minorEastAsia" w:hAnsiTheme="minorEastAsia" w:eastAsiaTheme="minorEastAsia"/>
          <w:sz w:val="24"/>
          <w:szCs w:val="24"/>
        </w:rPr>
        <w:t>在收到成交通知书后</w:t>
      </w:r>
      <w:r>
        <w:rPr>
          <w:rFonts w:hint="eastAsia" w:cs="宋体" w:asciiTheme="minorEastAsia" w:hAnsiTheme="minorEastAsia" w:eastAsiaTheme="minorEastAsia"/>
          <w:sz w:val="24"/>
          <w:szCs w:val="24"/>
        </w:rPr>
        <w:t>2个工作日内应与采购人签订承包合同。</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竞争性磋商文件成交单位的响应性文件及其相关澄清、补遗文件等，均为签订合同的依据。</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2成交单位如未能按照竞争性磋商文件要求，在规定期限内与采购人签订合同，无论何种原因招标方将取消其成交资格、撤销其成交通知书。在此情况下，采购人可将合同授予排名次高的响应人。</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14.3在签订合同过程中，如发现成交单位以他人名义磋商或者以其他方式弄虚作假，骗取成交的，采购人有权取消其成交资格。</w:t>
      </w:r>
    </w:p>
    <w:p>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14.4</w:t>
      </w:r>
      <w:r>
        <w:rPr>
          <w:rFonts w:hint="eastAsia" w:cs="黑体" w:asciiTheme="minorEastAsia" w:hAnsiTheme="minorEastAsia" w:eastAsiaTheme="minorEastAsia"/>
          <w:kern w:val="0"/>
          <w:sz w:val="24"/>
        </w:rPr>
        <w:t>采购人或采购代理机构应于合同签订后1个工作日内在河南省政府采购网公示及河南省电子化政府采购系统内备案采购</w:t>
      </w:r>
      <w:r>
        <w:rPr>
          <w:rFonts w:hint="eastAsia" w:cs="宋体" w:asciiTheme="minorEastAsia" w:hAnsiTheme="minorEastAsia" w:eastAsiaTheme="minorEastAsia"/>
          <w:sz w:val="24"/>
          <w:szCs w:val="24"/>
        </w:rPr>
        <w:t>。</w:t>
      </w:r>
    </w:p>
    <w:p>
      <w:pPr>
        <w:rPr>
          <w:rFonts w:hint="eastAsia" w:cs="宋体" w:asciiTheme="minorEastAsia" w:hAnsiTheme="minorEastAsia" w:eastAsiaTheme="minorEastAsia"/>
          <w:b/>
          <w:bCs/>
          <w:sz w:val="28"/>
          <w:szCs w:val="28"/>
          <w:lang w:val="en-US" w:eastAsia="zh-CN"/>
        </w:rPr>
      </w:pPr>
    </w:p>
    <w:p>
      <w:pPr>
        <w:jc w:val="center"/>
        <w:outlineLvl w:val="0"/>
        <w:rPr>
          <w:rFonts w:cs="宋体" w:asciiTheme="minorEastAsia" w:hAnsiTheme="minorEastAsia" w:eastAsiaTheme="minorEastAsia"/>
          <w:b/>
          <w:bCs/>
          <w:sz w:val="30"/>
          <w:szCs w:val="30"/>
        </w:rPr>
      </w:pPr>
      <w:r>
        <w:rPr>
          <w:rFonts w:cs="宋体" w:asciiTheme="minorEastAsia" w:hAnsiTheme="minorEastAsia" w:eastAsiaTheme="minorEastAsia"/>
          <w:sz w:val="24"/>
          <w:szCs w:val="24"/>
        </w:rPr>
        <w:br w:type="page"/>
      </w:r>
      <w:bookmarkStart w:id="58" w:name="_Toc100846871"/>
      <w:r>
        <w:rPr>
          <w:rFonts w:hint="eastAsia" w:asciiTheme="minorEastAsia" w:hAnsiTheme="minorEastAsia" w:eastAsiaTheme="minorEastAsia"/>
          <w:b/>
          <w:bCs/>
          <w:sz w:val="30"/>
          <w:szCs w:val="30"/>
        </w:rPr>
        <w:t>第三章  磋商办法</w:t>
      </w:r>
      <w:bookmarkEnd w:id="58"/>
    </w:p>
    <w:p>
      <w:pPr>
        <w:numPr>
          <w:ilvl w:val="0"/>
          <w:numId w:val="3"/>
        </w:numPr>
        <w:spacing w:line="50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bCs/>
          <w:kern w:val="0"/>
          <w:sz w:val="24"/>
          <w:szCs w:val="24"/>
        </w:rPr>
        <w:t>本次磋商采用综合评分法：</w:t>
      </w:r>
      <w:r>
        <w:rPr>
          <w:rFonts w:hint="eastAsia" w:cs="宋体" w:asciiTheme="minorEastAsia" w:hAnsiTheme="minorEastAsia" w:eastAsiaTheme="minorEastAsia"/>
          <w:sz w:val="24"/>
          <w:szCs w:val="24"/>
        </w:rPr>
        <w:t>磋商小组对满足竞争性磋商文件实质性要求和提交最终报价的响应文件，按本章节规定的评分标准进行综合评分，并按得分由高到低顺序推荐3名成交候选人。</w:t>
      </w:r>
      <w:bookmarkStart w:id="59" w:name="_Toc28030"/>
      <w:bookmarkEnd w:id="59"/>
      <w:bookmarkStart w:id="60" w:name="_Toc179632619"/>
      <w:bookmarkEnd w:id="60"/>
      <w:bookmarkStart w:id="61" w:name="_Toc19618"/>
      <w:bookmarkEnd w:id="61"/>
      <w:bookmarkStart w:id="62" w:name="_Toc29880"/>
      <w:r>
        <w:rPr>
          <w:rFonts w:hint="eastAsia" w:cs="宋体" w:asciiTheme="minorEastAsia" w:hAnsiTheme="minorEastAsia" w:eastAsiaTheme="minorEastAsia"/>
          <w:b/>
          <w:sz w:val="24"/>
          <w:szCs w:val="24"/>
        </w:rPr>
        <w:t>若有效响应人少于3家，磋商小组认为有效响应人具备竞争性的可继续进行评审。</w:t>
      </w:r>
    </w:p>
    <w:p>
      <w:pPr>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 评审标准</w:t>
      </w:r>
      <w:bookmarkEnd w:id="62"/>
    </w:p>
    <w:p>
      <w:pPr>
        <w:spacing w:line="500" w:lineRule="exact"/>
        <w:ind w:firstLine="420" w:firstLineChars="175"/>
        <w:rPr>
          <w:rFonts w:cs="宋体" w:asciiTheme="minorEastAsia" w:hAnsiTheme="minorEastAsia" w:eastAsiaTheme="minorEastAsia"/>
          <w:sz w:val="24"/>
          <w:szCs w:val="24"/>
        </w:rPr>
      </w:pPr>
      <w:bookmarkStart w:id="63" w:name="_Toc179632620"/>
      <w:bookmarkEnd w:id="63"/>
      <w:bookmarkStart w:id="64" w:name="_Toc12931"/>
      <w:bookmarkEnd w:id="64"/>
      <w:bookmarkStart w:id="65" w:name="_Toc31847"/>
      <w:bookmarkEnd w:id="65"/>
      <w:bookmarkStart w:id="66" w:name="_Toc23196"/>
      <w:bookmarkEnd w:id="66"/>
      <w:r>
        <w:rPr>
          <w:rFonts w:hint="eastAsia" w:cs="宋体" w:asciiTheme="minorEastAsia" w:hAnsiTheme="minorEastAsia" w:eastAsiaTheme="minorEastAsia"/>
          <w:sz w:val="24"/>
          <w:szCs w:val="24"/>
        </w:rPr>
        <w:t>2.1 初步评审标准</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2.1.1 形式评审标准：见磋商办法前附表。</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 资格评审标准：见磋商办法前附表。</w:t>
      </w:r>
    </w:p>
    <w:p>
      <w:pPr>
        <w:spacing w:line="500" w:lineRule="exact"/>
        <w:ind w:firstLine="420" w:firstLineChars="175"/>
        <w:rPr>
          <w:rFonts w:cs="宋体" w:asciiTheme="minorEastAsia" w:hAnsiTheme="minorEastAsia" w:eastAsiaTheme="minorEastAsia"/>
          <w:sz w:val="24"/>
          <w:szCs w:val="24"/>
        </w:rPr>
      </w:pPr>
      <w:bookmarkStart w:id="67" w:name="_Toc16603"/>
      <w:bookmarkEnd w:id="67"/>
      <w:bookmarkStart w:id="68" w:name="_Toc179632621"/>
      <w:bookmarkEnd w:id="68"/>
      <w:bookmarkStart w:id="69" w:name="_Toc607"/>
      <w:bookmarkEnd w:id="69"/>
      <w:bookmarkStart w:id="70" w:name="_Toc11804"/>
      <w:bookmarkEnd w:id="70"/>
      <w:r>
        <w:rPr>
          <w:rFonts w:hint="eastAsia" w:cs="宋体" w:asciiTheme="minorEastAsia" w:hAnsiTheme="minorEastAsia" w:eastAsiaTheme="minorEastAsia"/>
          <w:sz w:val="24"/>
          <w:szCs w:val="24"/>
        </w:rPr>
        <w:t>2.1.3 响应性评审标准：见磋商办法前附表。</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 分值构成与评分标准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分值构成</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（1）最终磋商报价的权重占3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（2）技术标的权重占5</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w:t>
      </w:r>
    </w:p>
    <w:p>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（3）综合标的权重占</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  评分标准：见磋商办法前附表。</w:t>
      </w:r>
      <w:bookmarkStart w:id="71" w:name="_Toc13158"/>
      <w:bookmarkEnd w:id="71"/>
      <w:bookmarkStart w:id="72" w:name="_Toc25534"/>
      <w:bookmarkEnd w:id="72"/>
      <w:bookmarkStart w:id="73" w:name="_Toc152045604"/>
      <w:bookmarkEnd w:id="73"/>
      <w:bookmarkStart w:id="74" w:name="_Toc11715"/>
      <w:bookmarkEnd w:id="74"/>
      <w:bookmarkStart w:id="75" w:name="_Toc144974571"/>
      <w:bookmarkEnd w:id="75"/>
      <w:bookmarkStart w:id="76" w:name="_Toc179632622"/>
      <w:bookmarkEnd w:id="76"/>
      <w:bookmarkStart w:id="77" w:name="_Toc152042381"/>
    </w:p>
    <w:p>
      <w:pPr>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 磋商程序</w:t>
      </w:r>
      <w:bookmarkEnd w:id="77"/>
    </w:p>
    <w:p>
      <w:pPr>
        <w:spacing w:line="500" w:lineRule="exact"/>
        <w:ind w:firstLine="480" w:firstLineChars="200"/>
        <w:rPr>
          <w:rFonts w:cs="宋体" w:asciiTheme="minorEastAsia" w:hAnsiTheme="minorEastAsia" w:eastAsiaTheme="minorEastAsia"/>
          <w:sz w:val="24"/>
          <w:szCs w:val="24"/>
        </w:rPr>
      </w:pPr>
      <w:bookmarkStart w:id="78" w:name="_Toc144974572"/>
      <w:bookmarkEnd w:id="78"/>
      <w:bookmarkStart w:id="79" w:name="_Toc152045605"/>
      <w:bookmarkEnd w:id="79"/>
      <w:bookmarkStart w:id="80" w:name="_Toc8644"/>
      <w:bookmarkEnd w:id="80"/>
      <w:bookmarkStart w:id="81" w:name="_Toc152042382"/>
      <w:bookmarkEnd w:id="81"/>
      <w:bookmarkStart w:id="82" w:name="_Toc30372"/>
      <w:bookmarkEnd w:id="82"/>
      <w:bookmarkStart w:id="83" w:name="_Toc31010"/>
      <w:bookmarkEnd w:id="83"/>
      <w:bookmarkStart w:id="84" w:name="_Toc179632623"/>
      <w:r>
        <w:rPr>
          <w:rFonts w:hint="eastAsia" w:cs="宋体" w:asciiTheme="minorEastAsia" w:hAnsiTheme="minorEastAsia" w:eastAsiaTheme="minorEastAsia"/>
          <w:sz w:val="24"/>
          <w:szCs w:val="24"/>
        </w:rPr>
        <w:t>3.1 初步评审</w:t>
      </w:r>
      <w:bookmarkEnd w:id="84"/>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3.1.1 </w:t>
      </w:r>
      <w:r>
        <w:rPr>
          <w:rFonts w:hint="eastAsia" w:cs="宋体" w:asciiTheme="minorEastAsia" w:hAnsiTheme="minorEastAsia" w:eastAsiaTheme="minorEastAsia"/>
          <w:b/>
          <w:bCs/>
          <w:sz w:val="24"/>
          <w:szCs w:val="24"/>
        </w:rPr>
        <w:t>资格审查资以投标文件为准</w:t>
      </w:r>
      <w:r>
        <w:rPr>
          <w:rFonts w:hint="eastAsia" w:cs="宋体" w:asciiTheme="minorEastAsia" w:hAnsiTheme="minorEastAsia" w:eastAsiaTheme="minorEastAsia"/>
          <w:sz w:val="24"/>
          <w:szCs w:val="24"/>
        </w:rPr>
        <w:t>，其上传资料真实性由投标人自行承担。磋商小组依据本章第2.1款规定的标准对响应文件进行初步评审。有一项不符合评审标准的，其磋商将被否决。</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3.1.2磋商小组依据本章第2.1.1项、第2.1.2项、第2.1.3项规定的评审标准对响应文件进行初步评审。有一项不符合评审标准的，其磋商将被否决。</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3.1.3响应人有以下情形之一的，其磋商作无效标处理：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（1）串通磋商或弄虚作假或有其他违法行为的；</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（2）不按磋商小组要求澄清、说明或补正的。</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3.1.4磋商报价有算术错误的，磋商小组按以下原则对磋商报价进行修正，修正的价格经响应人书面确认后具有约束力。响应人不接受修正价格的，其磋商将被否决。</w:t>
      </w:r>
    </w:p>
    <w:p>
      <w:pPr>
        <w:spacing w:line="500" w:lineRule="exact"/>
        <w:ind w:firstLine="480" w:firstLineChars="200"/>
        <w:rPr>
          <w:rFonts w:cs="宋体" w:asciiTheme="minorEastAsia" w:hAnsiTheme="minorEastAsia" w:eastAsiaTheme="minorEastAsia"/>
          <w:sz w:val="24"/>
          <w:szCs w:val="24"/>
        </w:rPr>
      </w:pPr>
      <w:bookmarkStart w:id="85" w:name="_Toc152042383"/>
      <w:bookmarkEnd w:id="85"/>
      <w:r>
        <w:rPr>
          <w:rFonts w:hint="eastAsia" w:cs="宋体" w:asciiTheme="minorEastAsia" w:hAnsiTheme="minorEastAsia" w:eastAsiaTheme="minorEastAsia"/>
          <w:sz w:val="24"/>
          <w:szCs w:val="24"/>
        </w:rPr>
        <w:t>（1）响应文件中的大写金额与小写金额不一致的，以大写金额为准；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（2）总价金额与依据单价计算出的结果不一致的，以单价金额为准修正总价，但单价金额小数点有明显错误的除外。</w:t>
      </w:r>
    </w:p>
    <w:p>
      <w:pPr>
        <w:spacing w:line="500" w:lineRule="exact"/>
        <w:ind w:firstLine="480" w:firstLineChars="200"/>
        <w:rPr>
          <w:rFonts w:cs="宋体" w:asciiTheme="minorEastAsia" w:hAnsiTheme="minorEastAsia" w:eastAsiaTheme="minorEastAsia"/>
          <w:sz w:val="24"/>
          <w:szCs w:val="24"/>
        </w:rPr>
      </w:pPr>
      <w:bookmarkStart w:id="86" w:name="_Toc152042384"/>
      <w:bookmarkEnd w:id="86"/>
      <w:bookmarkStart w:id="87" w:name="_Toc144974573"/>
      <w:bookmarkEnd w:id="87"/>
      <w:bookmarkStart w:id="88" w:name="_Toc179632624"/>
      <w:bookmarkEnd w:id="88"/>
      <w:bookmarkStart w:id="89" w:name="_Toc152045606"/>
      <w:r>
        <w:rPr>
          <w:rFonts w:hint="eastAsia" w:cs="宋体" w:asciiTheme="minorEastAsia" w:hAnsiTheme="minorEastAsia" w:eastAsiaTheme="minorEastAsia"/>
          <w:sz w:val="24"/>
          <w:szCs w:val="24"/>
        </w:rPr>
        <w:t>3.2 详细评审</w:t>
      </w:r>
      <w:bookmarkEnd w:id="89"/>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3.2.1 磋商小组按本章第2.2款规定的量化因素和分值进行打分，并计算出综合评估得分。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pPr>
        <w:spacing w:line="500" w:lineRule="exact"/>
        <w:ind w:firstLine="480" w:firstLineChars="200"/>
        <w:rPr>
          <w:rFonts w:cs="宋体" w:asciiTheme="minorEastAsia" w:hAnsiTheme="minorEastAsia" w:eastAsiaTheme="minorEastAsia"/>
          <w:sz w:val="24"/>
          <w:szCs w:val="24"/>
        </w:rPr>
      </w:pPr>
      <w:bookmarkStart w:id="90" w:name="_Toc389384087"/>
      <w:bookmarkEnd w:id="90"/>
      <w:bookmarkStart w:id="91" w:name="_Toc466566711"/>
      <w:bookmarkEnd w:id="91"/>
      <w:bookmarkStart w:id="92" w:name="_Toc466566800"/>
      <w:bookmarkEnd w:id="92"/>
      <w:bookmarkStart w:id="93" w:name="_Toc418605429"/>
      <w:bookmarkEnd w:id="93"/>
      <w:bookmarkStart w:id="94" w:name="_Toc152042385"/>
      <w:bookmarkEnd w:id="94"/>
      <w:bookmarkStart w:id="95" w:name="_Toc423358132"/>
      <w:bookmarkEnd w:id="95"/>
      <w:bookmarkStart w:id="96" w:name="_Toc179632625"/>
      <w:bookmarkEnd w:id="96"/>
      <w:bookmarkStart w:id="97" w:name="_Toc401926485"/>
      <w:bookmarkEnd w:id="97"/>
      <w:bookmarkStart w:id="98" w:name="_Toc144974575"/>
      <w:bookmarkEnd w:id="98"/>
      <w:bookmarkStart w:id="99" w:name="_Toc418608950"/>
      <w:bookmarkEnd w:id="99"/>
      <w:bookmarkStart w:id="100" w:name="_Toc387498748"/>
      <w:bookmarkEnd w:id="100"/>
      <w:bookmarkStart w:id="101" w:name="_Toc421805017"/>
      <w:bookmarkEnd w:id="101"/>
      <w:bookmarkStart w:id="102" w:name="_Toc401512224"/>
      <w:bookmarkEnd w:id="102"/>
      <w:bookmarkStart w:id="103" w:name="_Toc421698384"/>
      <w:bookmarkEnd w:id="103"/>
      <w:bookmarkStart w:id="104" w:name="_Toc152045607"/>
      <w:r>
        <w:rPr>
          <w:rFonts w:hint="eastAsia" w:cs="宋体" w:asciiTheme="minorEastAsia" w:hAnsiTheme="minorEastAsia" w:eastAsiaTheme="minorEastAsia"/>
          <w:sz w:val="24"/>
          <w:szCs w:val="24"/>
        </w:rPr>
        <w:t xml:space="preserve">3.3 </w:t>
      </w:r>
      <w:bookmarkEnd w:id="104"/>
      <w:r>
        <w:rPr>
          <w:rFonts w:hint="eastAsia" w:cs="宋体" w:asciiTheme="minorEastAsia" w:hAnsiTheme="minorEastAsia" w:eastAsiaTheme="minorEastAsia"/>
          <w:sz w:val="24"/>
          <w:szCs w:val="24"/>
        </w:rPr>
        <w:t>响应文件的澄清和补正</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澄清、说明和补正不得改变响应文件的实质性内容（算术性错误修正的除外）。响应人的书面澄清、说明和补正属于响应文件的组成部分。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 磋商小组对响应人提交的澄清、说明或补正有疑问的，可以要求响应人进一步澄清、说明或补正，直至满足磋商小组的要求。</w:t>
      </w:r>
    </w:p>
    <w:p>
      <w:pPr>
        <w:spacing w:line="500" w:lineRule="exact"/>
        <w:ind w:firstLine="480" w:firstLineChars="200"/>
        <w:rPr>
          <w:rFonts w:cs="宋体" w:asciiTheme="minorEastAsia" w:hAnsiTheme="minorEastAsia" w:eastAsiaTheme="minorEastAsia"/>
          <w:sz w:val="24"/>
          <w:szCs w:val="24"/>
        </w:rPr>
      </w:pPr>
      <w:bookmarkStart w:id="105" w:name="_Toc401926486"/>
      <w:bookmarkEnd w:id="105"/>
      <w:bookmarkStart w:id="106" w:name="_Toc152045608"/>
      <w:bookmarkEnd w:id="106"/>
      <w:bookmarkStart w:id="107" w:name="_Toc421698385"/>
      <w:bookmarkEnd w:id="107"/>
      <w:bookmarkStart w:id="108" w:name="_Toc144974576"/>
      <w:bookmarkEnd w:id="108"/>
      <w:bookmarkStart w:id="109" w:name="_Toc389384088"/>
      <w:bookmarkEnd w:id="109"/>
      <w:bookmarkStart w:id="110" w:name="_Toc466566801"/>
      <w:bookmarkEnd w:id="110"/>
      <w:bookmarkStart w:id="111" w:name="_Toc421805018"/>
      <w:bookmarkEnd w:id="111"/>
      <w:bookmarkStart w:id="112" w:name="_Toc179632626"/>
      <w:bookmarkEnd w:id="112"/>
      <w:bookmarkStart w:id="113" w:name="_Toc466566712"/>
      <w:bookmarkEnd w:id="113"/>
      <w:bookmarkStart w:id="114" w:name="_Toc401512225"/>
      <w:bookmarkEnd w:id="114"/>
      <w:bookmarkStart w:id="115" w:name="_Toc418605430"/>
      <w:bookmarkEnd w:id="115"/>
      <w:bookmarkStart w:id="116" w:name="_Toc418608951"/>
      <w:bookmarkEnd w:id="116"/>
      <w:bookmarkStart w:id="117" w:name="_Toc423358133"/>
      <w:bookmarkEnd w:id="117"/>
      <w:bookmarkStart w:id="118" w:name="_Toc152042386"/>
      <w:bookmarkEnd w:id="118"/>
      <w:bookmarkStart w:id="119" w:name="_Toc387498749"/>
      <w:r>
        <w:rPr>
          <w:rFonts w:hint="eastAsia" w:cs="宋体" w:asciiTheme="minorEastAsia" w:hAnsiTheme="minorEastAsia" w:eastAsiaTheme="minorEastAsia"/>
          <w:sz w:val="24"/>
          <w:szCs w:val="24"/>
        </w:rPr>
        <w:t>3.4响应人的最终得分</w:t>
      </w:r>
      <w:bookmarkEnd w:id="119"/>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（1）磋商小组完成对最终磋商报价、技术标和综合标的汇总后，取平均值作为该响应人的最终得分。</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（2）计算分值均保留两位小数。</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3.5磋商结果</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3.5.1磋商小组按照得分由高到低的顺序推荐3名成交候选人。</w:t>
      </w:r>
    </w:p>
    <w:p>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磋商小组完成磋商后，应当向采购人提交书面评标报告。</w:t>
      </w:r>
    </w:p>
    <w:p>
      <w:pPr>
        <w:spacing w:line="520" w:lineRule="exact"/>
        <w:jc w:val="center"/>
      </w:pPr>
      <w:r>
        <w:rPr>
          <w:rFonts w:asciiTheme="minorEastAsia" w:hAnsiTheme="minorEastAsia" w:eastAsiaTheme="minorEastAsia"/>
          <w:b/>
          <w:sz w:val="30"/>
          <w:szCs w:val="30"/>
        </w:rPr>
        <w:br w:type="page"/>
      </w:r>
      <w:r>
        <w:rPr>
          <w:rFonts w:hint="eastAsia" w:asciiTheme="minorEastAsia" w:hAnsiTheme="minorEastAsia" w:eastAsiaTheme="minorEastAsia"/>
          <w:b/>
          <w:sz w:val="28"/>
          <w:szCs w:val="28"/>
        </w:rPr>
        <w:t>初步评审表</w:t>
      </w:r>
    </w:p>
    <w:tbl>
      <w:tblPr>
        <w:tblStyle w:val="11"/>
        <w:tblpPr w:leftFromText="180" w:rightFromText="180" w:vertAnchor="text" w:horzAnchor="margin" w:tblpXSpec="center" w:tblpY="631"/>
        <w:tblOverlap w:val="never"/>
        <w:tblW w:w="1020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736"/>
        <w:gridCol w:w="2457"/>
        <w:gridCol w:w="619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9"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条款号</w:t>
            </w:r>
          </w:p>
        </w:tc>
        <w:tc>
          <w:tcPr>
            <w:tcW w:w="2457" w:type="dxa"/>
            <w:tcBorders>
              <w:top w:val="single" w:color="auto" w:sz="4" w:space="0"/>
              <w:left w:val="nil"/>
              <w:bottom w:val="single" w:color="auto" w:sz="4" w:space="0"/>
              <w:right w:val="single" w:color="auto" w:sz="4" w:space="0"/>
            </w:tcBorders>
            <w:vAlign w:val="center"/>
          </w:tcPr>
          <w:p>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评审因素</w:t>
            </w:r>
          </w:p>
        </w:tc>
        <w:tc>
          <w:tcPr>
            <w:tcW w:w="6191" w:type="dxa"/>
            <w:tcBorders>
              <w:top w:val="single" w:color="auto" w:sz="4" w:space="0"/>
              <w:left w:val="nil"/>
              <w:bottom w:val="single" w:color="auto" w:sz="4" w:space="0"/>
              <w:right w:val="single" w:color="auto" w:sz="4" w:space="0"/>
            </w:tcBorders>
            <w:vAlign w:val="center"/>
          </w:tcPr>
          <w:p>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6" w:hRule="atLeast"/>
        </w:trPr>
        <w:tc>
          <w:tcPr>
            <w:tcW w:w="817" w:type="dxa"/>
            <w:vMerge w:val="restart"/>
            <w:vAlign w:val="center"/>
          </w:tcPr>
          <w:p>
            <w:pPr>
              <w:spacing w:line="480" w:lineRule="exact"/>
              <w:jc w:val="center"/>
              <w:rPr>
                <w:rFonts w:asciiTheme="minorEastAsia" w:hAnsiTheme="minorEastAsia" w:eastAsiaTheme="minorEastAsia"/>
                <w:sz w:val="24"/>
                <w:szCs w:val="24"/>
              </w:rPr>
            </w:pPr>
            <w:bookmarkStart w:id="120" w:name="OLE_LINK4" w:colFirst="2" w:colLast="3"/>
            <w:r>
              <w:rPr>
                <w:rFonts w:hint="eastAsia" w:asciiTheme="minorEastAsia" w:hAnsiTheme="minorEastAsia" w:eastAsiaTheme="minorEastAsia"/>
                <w:sz w:val="24"/>
                <w:szCs w:val="24"/>
              </w:rPr>
              <w:t>2.1.1</w:t>
            </w:r>
          </w:p>
        </w:tc>
        <w:tc>
          <w:tcPr>
            <w:tcW w:w="736" w:type="dxa"/>
            <w:vMerge w:val="restart"/>
            <w:vAlign w:val="center"/>
          </w:tcPr>
          <w:p>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符合性评审</w:t>
            </w:r>
          </w:p>
        </w:tc>
        <w:tc>
          <w:tcPr>
            <w:tcW w:w="2457"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响应人名称</w:t>
            </w:r>
          </w:p>
        </w:tc>
        <w:tc>
          <w:tcPr>
            <w:tcW w:w="619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与营业执照一致</w:t>
            </w:r>
          </w:p>
        </w:tc>
      </w:tr>
      <w:bookmarkEnd w:id="120"/>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817" w:type="dxa"/>
            <w:vMerge w:val="continue"/>
            <w:vAlign w:val="center"/>
          </w:tcPr>
          <w:p>
            <w:pPr>
              <w:widowControl/>
              <w:jc w:val="left"/>
              <w:rPr>
                <w:rFonts w:asciiTheme="minorEastAsia" w:hAnsiTheme="minorEastAsia" w:eastAsiaTheme="minorEastAsia"/>
                <w:sz w:val="24"/>
                <w:szCs w:val="24"/>
              </w:rPr>
            </w:pPr>
            <w:bookmarkStart w:id="121" w:name="OLE_LINK5" w:colFirst="2" w:colLast="3"/>
          </w:p>
        </w:tc>
        <w:tc>
          <w:tcPr>
            <w:tcW w:w="736" w:type="dxa"/>
            <w:vMerge w:val="continue"/>
            <w:vAlign w:val="center"/>
          </w:tcPr>
          <w:p>
            <w:pPr>
              <w:widowControl/>
              <w:jc w:val="left"/>
              <w:rPr>
                <w:rFonts w:asciiTheme="minorEastAsia" w:hAnsiTheme="minorEastAsia" w:eastAsiaTheme="minorEastAsia"/>
                <w:sz w:val="24"/>
                <w:szCs w:val="24"/>
              </w:rPr>
            </w:pPr>
          </w:p>
        </w:tc>
        <w:tc>
          <w:tcPr>
            <w:tcW w:w="2457"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磋商函签字</w:t>
            </w:r>
          </w:p>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tc>
        <w:tc>
          <w:tcPr>
            <w:tcW w:w="6191"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有法定代表人签章并加盖单位公章</w:t>
            </w:r>
          </w:p>
        </w:tc>
      </w:tr>
      <w:bookmarkEnd w:id="121"/>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5" w:hRule="atLeast"/>
        </w:trPr>
        <w:tc>
          <w:tcPr>
            <w:tcW w:w="817" w:type="dxa"/>
            <w:vMerge w:val="continue"/>
            <w:vAlign w:val="center"/>
          </w:tcPr>
          <w:p>
            <w:pPr>
              <w:widowControl/>
              <w:jc w:val="left"/>
              <w:rPr>
                <w:rFonts w:asciiTheme="minorEastAsia" w:hAnsiTheme="minorEastAsia" w:eastAsiaTheme="minorEastAsia"/>
                <w:sz w:val="24"/>
                <w:szCs w:val="24"/>
              </w:rPr>
            </w:pPr>
            <w:bookmarkStart w:id="122" w:name="OLE_LINK6" w:colFirst="2" w:colLast="3"/>
          </w:p>
        </w:tc>
        <w:tc>
          <w:tcPr>
            <w:tcW w:w="736" w:type="dxa"/>
            <w:vMerge w:val="continue"/>
            <w:vAlign w:val="center"/>
          </w:tcPr>
          <w:p>
            <w:pPr>
              <w:widowControl/>
              <w:jc w:val="left"/>
              <w:rPr>
                <w:rFonts w:asciiTheme="minorEastAsia" w:hAnsiTheme="minorEastAsia" w:eastAsiaTheme="minorEastAsia"/>
                <w:sz w:val="24"/>
                <w:szCs w:val="24"/>
              </w:rPr>
            </w:pPr>
          </w:p>
        </w:tc>
        <w:tc>
          <w:tcPr>
            <w:tcW w:w="2457"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报价唯一</w:t>
            </w:r>
          </w:p>
        </w:tc>
        <w:tc>
          <w:tcPr>
            <w:tcW w:w="6191"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磋商函及磋商函附录中只能有一个有效报价</w:t>
            </w:r>
          </w:p>
        </w:tc>
      </w:tr>
      <w:bookmarkEnd w:id="122"/>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8" w:hRule="atLeast"/>
        </w:trPr>
        <w:tc>
          <w:tcPr>
            <w:tcW w:w="817" w:type="dxa"/>
            <w:vMerge w:val="restart"/>
            <w:tcBorders>
              <w:top w:val="single" w:color="auto" w:sz="4" w:space="0"/>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3" w:name="OLE_LINK7" w:colFirst="2" w:colLast="3"/>
            <w:r>
              <w:rPr>
                <w:rFonts w:hint="eastAsia" w:asciiTheme="minorEastAsia" w:hAnsiTheme="minorEastAsia" w:eastAsiaTheme="minorEastAsia"/>
                <w:sz w:val="24"/>
                <w:szCs w:val="24"/>
              </w:rPr>
              <w:t>2.2.2</w:t>
            </w:r>
          </w:p>
        </w:tc>
        <w:tc>
          <w:tcPr>
            <w:tcW w:w="736" w:type="dxa"/>
            <w:vMerge w:val="restart"/>
            <w:tcBorders>
              <w:top w:val="single" w:color="auto" w:sz="4" w:space="0"/>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资格评审标准</w:t>
            </w:r>
          </w:p>
        </w:tc>
        <w:tc>
          <w:tcPr>
            <w:tcW w:w="245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满足《中华人民共和国政府采购法》第二十二条规定</w:t>
            </w:r>
          </w:p>
        </w:tc>
        <w:tc>
          <w:tcPr>
            <w:tcW w:w="6191"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Theme="minorEastAsia" w:hAnsiTheme="minorEastAsia" w:eastAsiaTheme="minorEastAsia"/>
                <w:sz w:val="24"/>
                <w:szCs w:val="24"/>
                <w:lang w:val="en-US" w:eastAsia="zh-CN"/>
              </w:rPr>
            </w:pPr>
            <w:r>
              <w:rPr>
                <w:rFonts w:hint="eastAsia" w:cs="宋体" w:asciiTheme="minorEastAsia" w:hAnsiTheme="minorEastAsia" w:eastAsiaTheme="minorEastAsia"/>
                <w:kern w:val="0"/>
                <w:sz w:val="24"/>
                <w:szCs w:val="24"/>
              </w:rPr>
              <w:t>满足《中华人民共和国政府采购法》第二十二条规定</w:t>
            </w:r>
            <w:r>
              <w:rPr>
                <w:rFonts w:hint="eastAsia" w:cs="宋体" w:asciiTheme="minorEastAsia" w:hAnsiTheme="minorEastAsia" w:eastAsiaTheme="minorEastAsia"/>
                <w:kern w:val="0"/>
                <w:sz w:val="24"/>
                <w:szCs w:val="24"/>
                <w:lang w:val="en-US" w:eastAsia="zh-CN"/>
              </w:rPr>
              <w:t>承诺书</w:t>
            </w:r>
          </w:p>
        </w:tc>
      </w:tr>
      <w:bookmarkEnd w:id="123"/>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8"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4" w:name="OLE_LINK8"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w:t>
            </w:r>
          </w:p>
        </w:tc>
        <w:tc>
          <w:tcPr>
            <w:tcW w:w="6191" w:type="dxa"/>
            <w:tcBorders>
              <w:top w:val="single" w:color="auto" w:sz="4" w:space="0"/>
              <w:left w:val="nil"/>
              <w:bottom w:val="single" w:color="auto" w:sz="4" w:space="0"/>
              <w:right w:val="single" w:color="auto" w:sz="4" w:space="0"/>
            </w:tcBorders>
            <w:vAlign w:val="center"/>
          </w:tcPr>
          <w:p>
            <w:pPr>
              <w:pStyle w:val="5"/>
              <w:numPr>
                <w:ilvl w:val="0"/>
                <w:numId w:val="0"/>
              </w:numPr>
              <w:rPr>
                <w:rFonts w:hint="eastAsia" w:eastAsia="宋体"/>
                <w:lang w:val="en-US" w:eastAsia="zh-CN"/>
              </w:rPr>
            </w:pPr>
            <w:r>
              <w:rPr>
                <w:rFonts w:hint="eastAsia" w:asciiTheme="minorEastAsia" w:hAnsiTheme="minorEastAsia" w:eastAsiaTheme="minorEastAsia"/>
                <w:sz w:val="24"/>
                <w:szCs w:val="24"/>
              </w:rPr>
              <w:t>具备有效的营业执照</w:t>
            </w:r>
          </w:p>
        </w:tc>
      </w:tr>
      <w:bookmarkEnd w:id="124"/>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23"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5" w:name="OLE_LINK9"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资质</w:t>
            </w:r>
            <w:r>
              <w:rPr>
                <w:rFonts w:hint="eastAsia" w:asciiTheme="minorEastAsia" w:hAnsiTheme="minorEastAsia" w:eastAsiaTheme="minorEastAsia"/>
                <w:sz w:val="24"/>
                <w:szCs w:val="24"/>
              </w:rPr>
              <w:t>证书</w:t>
            </w:r>
          </w:p>
        </w:tc>
        <w:tc>
          <w:tcPr>
            <w:tcW w:w="6191" w:type="dxa"/>
            <w:tcBorders>
              <w:top w:val="single" w:color="auto" w:sz="4" w:space="0"/>
              <w:left w:val="nil"/>
              <w:bottom w:val="single" w:color="auto" w:sz="4" w:space="0"/>
              <w:right w:val="single" w:color="auto" w:sz="4" w:space="0"/>
            </w:tcBorders>
          </w:tcPr>
          <w:p>
            <w:pPr>
              <w:pStyle w:val="5"/>
              <w:rPr>
                <w:rFonts w:hint="eastAsia" w:eastAsiaTheme="minorEastAsia"/>
                <w:lang w:val="en-US" w:eastAsia="zh-CN"/>
              </w:rPr>
            </w:pPr>
            <w:r>
              <w:rPr>
                <w:rFonts w:hint="eastAsia" w:cs="宋体" w:asciiTheme="minorEastAsia" w:hAnsiTheme="minorEastAsia" w:eastAsiaTheme="minorEastAsia"/>
                <w:kern w:val="0"/>
                <w:sz w:val="24"/>
                <w:szCs w:val="24"/>
              </w:rPr>
              <w:t>响应人须具备</w:t>
            </w:r>
            <w:r>
              <w:rPr>
                <w:rFonts w:hint="eastAsia" w:cs="宋体" w:asciiTheme="minorEastAsia" w:hAnsiTheme="minorEastAsia" w:eastAsiaTheme="minorEastAsia"/>
                <w:kern w:val="0"/>
                <w:sz w:val="24"/>
                <w:szCs w:val="24"/>
                <w:lang w:val="en-US" w:eastAsia="zh-CN"/>
              </w:rPr>
              <w:t>市政公用</w:t>
            </w:r>
            <w:r>
              <w:rPr>
                <w:rFonts w:hint="eastAsia" w:cs="宋体" w:asciiTheme="minorEastAsia" w:hAnsiTheme="minorEastAsia" w:eastAsiaTheme="minorEastAsia"/>
                <w:kern w:val="0"/>
                <w:sz w:val="24"/>
                <w:szCs w:val="24"/>
              </w:rPr>
              <w:t>工程施工总承包叁级（含）以上资质，且具有有效的安全生产许可证</w:t>
            </w:r>
          </w:p>
        </w:tc>
      </w:tr>
      <w:bookmarkEnd w:id="125"/>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52"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6" w:name="OLE_LINK10"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w:t>
            </w:r>
            <w:r>
              <w:rPr>
                <w:rFonts w:hint="eastAsia" w:asciiTheme="minorEastAsia" w:hAnsiTheme="minorEastAsia" w:eastAsiaTheme="minorEastAsia"/>
                <w:sz w:val="24"/>
                <w:szCs w:val="24"/>
              </w:rPr>
              <w:t>经理</w:t>
            </w:r>
          </w:p>
        </w:tc>
        <w:tc>
          <w:tcPr>
            <w:tcW w:w="6191" w:type="dxa"/>
            <w:tcBorders>
              <w:top w:val="single" w:color="auto" w:sz="4" w:space="0"/>
              <w:left w:val="nil"/>
              <w:bottom w:val="single" w:color="auto" w:sz="4" w:space="0"/>
              <w:right w:val="single" w:color="auto" w:sz="4" w:space="0"/>
            </w:tcBorders>
          </w:tcPr>
          <w:p>
            <w:pPr>
              <w:spacing w:line="400" w:lineRule="exact"/>
            </w:pPr>
            <w:r>
              <w:rPr>
                <w:rFonts w:hint="eastAsia" w:cs="宋体" w:asciiTheme="minorEastAsia" w:hAnsiTheme="minorEastAsia" w:eastAsiaTheme="minorEastAsia"/>
                <w:kern w:val="0"/>
                <w:sz w:val="24"/>
                <w:szCs w:val="24"/>
              </w:rPr>
              <w:t>拟派项目经理须具备</w:t>
            </w:r>
            <w:r>
              <w:rPr>
                <w:rFonts w:hint="eastAsia" w:cs="宋体" w:asciiTheme="minorEastAsia" w:hAnsiTheme="minorEastAsia" w:eastAsiaTheme="minorEastAsia"/>
                <w:kern w:val="0"/>
                <w:sz w:val="24"/>
                <w:szCs w:val="24"/>
                <w:lang w:val="en-US" w:eastAsia="zh-CN"/>
              </w:rPr>
              <w:t>市政公用</w:t>
            </w:r>
            <w:r>
              <w:rPr>
                <w:rFonts w:hint="eastAsia" w:cs="宋体" w:asciiTheme="minorEastAsia" w:hAnsiTheme="minorEastAsia" w:eastAsiaTheme="minorEastAsia"/>
                <w:kern w:val="0"/>
                <w:sz w:val="24"/>
                <w:szCs w:val="24"/>
              </w:rPr>
              <w:t>工程专业贰级及以上注册建造师证书和安全生产考核合格证书，且未担任其他在建工程项目的项目经理</w:t>
            </w:r>
          </w:p>
        </w:tc>
      </w:tr>
      <w:bookmarkEnd w:id="126"/>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76"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7" w:name="OLE_LINK11"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参加政府采购活动近三年内，在经营活动中没有重大违法记录，须提供承诺书，格式自拟</w:t>
            </w:r>
          </w:p>
        </w:tc>
        <w:tc>
          <w:tcPr>
            <w:tcW w:w="6191" w:type="dxa"/>
            <w:tcBorders>
              <w:top w:val="single" w:color="auto" w:sz="4" w:space="0"/>
              <w:left w:val="nil"/>
              <w:bottom w:val="single" w:color="auto" w:sz="4" w:space="0"/>
              <w:right w:val="single" w:color="auto" w:sz="4" w:space="0"/>
            </w:tcBorders>
            <w:vAlign w:val="center"/>
          </w:tcPr>
          <w:p>
            <w:pPr>
              <w:spacing w:line="400" w:lineRule="exact"/>
              <w:jc w:val="left"/>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参加政府采购活动近三年内，在经营活动中没有重大违法记录，须提供承诺书，格式自拟</w:t>
            </w:r>
          </w:p>
        </w:tc>
      </w:tr>
      <w:bookmarkEnd w:id="127"/>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232"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8" w:name="OLE_LINK12"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信用查询</w:t>
            </w:r>
          </w:p>
        </w:tc>
        <w:tc>
          <w:tcPr>
            <w:tcW w:w="6191" w:type="dxa"/>
            <w:tcBorders>
              <w:top w:val="single" w:color="auto" w:sz="4" w:space="0"/>
              <w:left w:val="nil"/>
              <w:bottom w:val="single" w:color="auto" w:sz="4" w:space="0"/>
              <w:right w:val="single" w:color="auto" w:sz="4" w:space="0"/>
            </w:tcBorders>
            <w:vAlign w:val="center"/>
          </w:tcPr>
          <w:p>
            <w:pPr>
              <w:spacing w:line="48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公告发布以后开标时间以前并提供网站查询网页截图，</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查询结果清晰可见)</w:t>
            </w:r>
          </w:p>
        </w:tc>
      </w:tr>
      <w:bookmarkEnd w:id="128"/>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9" w:hRule="atLeast"/>
        </w:trPr>
        <w:tc>
          <w:tcPr>
            <w:tcW w:w="817"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bookmarkStart w:id="129" w:name="OLE_LINK13" w:colFirst="2" w:colLast="3"/>
          </w:p>
        </w:tc>
        <w:tc>
          <w:tcPr>
            <w:tcW w:w="736" w:type="dxa"/>
            <w:vMerge w:val="continue"/>
            <w:tcBorders>
              <w:left w:val="single" w:color="auto" w:sz="4" w:space="0"/>
              <w:right w:val="single" w:color="auto" w:sz="4" w:space="0"/>
            </w:tcBorders>
            <w:vAlign w:val="center"/>
          </w:tcPr>
          <w:p>
            <w:pPr>
              <w:spacing w:line="480" w:lineRule="exact"/>
              <w:jc w:val="center"/>
              <w:rPr>
                <w:rFonts w:asciiTheme="minorEastAsia" w:hAnsiTheme="minorEastAsia" w:eastAsiaTheme="minorEastAsia"/>
                <w:sz w:val="24"/>
                <w:szCs w:val="24"/>
              </w:rPr>
            </w:pPr>
          </w:p>
        </w:tc>
        <w:tc>
          <w:tcPr>
            <w:tcW w:w="2457"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w:t>
            </w:r>
          </w:p>
        </w:tc>
        <w:tc>
          <w:tcPr>
            <w:tcW w:w="6191"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本项目不接受联合体磋商，提供非联合体承诺，格式自拟</w:t>
            </w:r>
          </w:p>
        </w:tc>
      </w:tr>
      <w:bookmarkEnd w:id="129"/>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0201" w:type="dxa"/>
            <w:gridSpan w:val="4"/>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资格评审以投标文件为准，其上传资料真实性由投标人自行承担。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bookmarkStart w:id="130" w:name="OLE_LINK14" w:colFirst="2" w:colLast="3"/>
            <w:r>
              <w:rPr>
                <w:rFonts w:hint="eastAsia" w:cs="宋体" w:asciiTheme="minorEastAsia" w:hAnsiTheme="minorEastAsia" w:eastAsiaTheme="minorEastAsia"/>
                <w:sz w:val="24"/>
                <w:szCs w:val="24"/>
              </w:rPr>
              <w:t>2.2.3</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性</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w:t>
            </w:r>
          </w:p>
        </w:tc>
        <w:tc>
          <w:tcPr>
            <w:tcW w:w="2457" w:type="dxa"/>
            <w:tcBorders>
              <w:top w:val="single" w:color="auto" w:sz="4" w:space="0"/>
              <w:left w:val="single" w:color="auto" w:sz="4" w:space="0"/>
              <w:right w:val="single" w:color="auto" w:sz="4" w:space="0"/>
            </w:tcBorders>
            <w:vAlign w:val="center"/>
          </w:tcPr>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计划工期</w:t>
            </w:r>
          </w:p>
        </w:tc>
        <w:tc>
          <w:tcPr>
            <w:tcW w:w="6191" w:type="dxa"/>
            <w:tcBorders>
              <w:top w:val="single" w:color="auto" w:sz="4" w:space="0"/>
              <w:left w:val="single" w:color="auto" w:sz="4" w:space="0"/>
              <w:right w:val="single" w:color="auto" w:sz="4" w:space="0"/>
            </w:tcBorders>
            <w:vAlign w:val="center"/>
          </w:tcPr>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15日历天</w:t>
            </w:r>
          </w:p>
        </w:tc>
      </w:tr>
      <w:bookmarkEnd w:id="130"/>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bookmarkStart w:id="131" w:name="OLE_LINK15" w:colFirst="2" w:colLast="3"/>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1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详见竞争性磋商公告</w:t>
            </w:r>
          </w:p>
        </w:tc>
      </w:tr>
      <w:bookmarkEnd w:id="131"/>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bookmarkStart w:id="132" w:name="OLE_LINK16" w:colFirst="2" w:colLast="3"/>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磋商有效期</w:t>
            </w:r>
          </w:p>
        </w:tc>
        <w:tc>
          <w:tcPr>
            <w:tcW w:w="61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60日历天</w:t>
            </w:r>
          </w:p>
        </w:tc>
      </w:tr>
      <w:bookmarkEnd w:id="132"/>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bookmarkStart w:id="133" w:name="OLE_LINK17" w:colFirst="2" w:colLast="3"/>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磋商总报价</w:t>
            </w:r>
          </w:p>
        </w:tc>
        <w:tc>
          <w:tcPr>
            <w:tcW w:w="619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响应人磋商总报价不得高于采购人公布的招标控制价，否则其投标将予否决。</w:t>
            </w:r>
          </w:p>
        </w:tc>
      </w:tr>
      <w:bookmarkEnd w:id="133"/>
    </w:tbl>
    <w:p>
      <w:pPr>
        <w:spacing w:line="520" w:lineRule="exact"/>
        <w:rPr>
          <w:rFonts w:asciiTheme="minorEastAsia" w:hAnsiTheme="minorEastAsia" w:eastAsiaTheme="minorEastAsia"/>
          <w:b/>
          <w:szCs w:val="21"/>
        </w:rPr>
      </w:pPr>
    </w:p>
    <w:p>
      <w:pPr>
        <w:rPr>
          <w:rFonts w:asciiTheme="minorEastAsia" w:hAnsiTheme="minorEastAsia" w:eastAsiaTheme="minorEastAsia"/>
          <w:b/>
          <w:bCs/>
          <w:sz w:val="30"/>
          <w:szCs w:val="30"/>
        </w:rPr>
      </w:pPr>
      <w:bookmarkStart w:id="134" w:name="_Toc269470330"/>
      <w:bookmarkStart w:id="135" w:name="_Toc90713357"/>
      <w:bookmarkStart w:id="136" w:name="_Toc109537522"/>
      <w:bookmarkStart w:id="137" w:name="_Toc109550798"/>
      <w:bookmarkStart w:id="138" w:name="_Toc90712538"/>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jc w:val="center"/>
        <w:rPr>
          <w:rFonts w:ascii="宋体" w:hAnsi="宋体"/>
          <w:b/>
          <w:color w:val="auto"/>
          <w:sz w:val="28"/>
          <w:szCs w:val="28"/>
          <w:highlight w:val="none"/>
        </w:rPr>
      </w:pPr>
      <w:r>
        <w:rPr>
          <w:rFonts w:hint="eastAsia" w:ascii="宋体" w:hAnsi="宋体"/>
          <w:b/>
          <w:color w:val="auto"/>
          <w:sz w:val="28"/>
          <w:szCs w:val="28"/>
          <w:highlight w:val="none"/>
        </w:rPr>
        <w:t>详细审查</w:t>
      </w:r>
      <w:r>
        <w:rPr>
          <w:rFonts w:ascii="宋体" w:hAnsi="宋体"/>
          <w:b/>
          <w:color w:val="auto"/>
          <w:sz w:val="28"/>
          <w:szCs w:val="28"/>
          <w:highlight w:val="none"/>
        </w:rPr>
        <w:t>：</w:t>
      </w:r>
    </w:p>
    <w:p>
      <w:pPr>
        <w:pStyle w:val="15"/>
        <w:rPr>
          <w:color w:val="auto"/>
          <w:highlight w:val="none"/>
        </w:rPr>
      </w:pPr>
    </w:p>
    <w:tbl>
      <w:tblPr>
        <w:tblStyle w:val="11"/>
        <w:tblW w:w="9880" w:type="dxa"/>
        <w:jc w:val="center"/>
        <w:tblLayout w:type="fixed"/>
        <w:tblCellMar>
          <w:top w:w="80" w:type="dxa"/>
          <w:left w:w="128" w:type="dxa"/>
          <w:bottom w:w="80" w:type="dxa"/>
          <w:right w:w="128" w:type="dxa"/>
        </w:tblCellMar>
      </w:tblPr>
      <w:tblGrid>
        <w:gridCol w:w="1228"/>
        <w:gridCol w:w="1316"/>
        <w:gridCol w:w="7336"/>
      </w:tblGrid>
      <w:tr>
        <w:tblPrEx>
          <w:tblCellMar>
            <w:top w:w="80" w:type="dxa"/>
            <w:left w:w="128" w:type="dxa"/>
            <w:bottom w:w="80" w:type="dxa"/>
            <w:right w:w="128" w:type="dxa"/>
          </w:tblCellMar>
        </w:tblPrEx>
        <w:trPr>
          <w:trHeight w:val="0" w:hRule="atLeast"/>
          <w:jc w:val="center"/>
        </w:trPr>
        <w:tc>
          <w:tcPr>
            <w:tcW w:w="98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1"/>
                <w:sz w:val="24"/>
                <w:highlight w:val="none"/>
              </w:rPr>
            </w:pPr>
            <w:r>
              <w:rPr>
                <w:rFonts w:ascii="宋体" w:hAnsi="宋体" w:cs="宋体"/>
                <w:b/>
                <w:color w:val="auto"/>
                <w:kern w:val="1"/>
                <w:sz w:val="24"/>
                <w:highlight w:val="none"/>
              </w:rPr>
              <w:t>综合评分部分（满分100分）</w:t>
            </w:r>
          </w:p>
        </w:tc>
      </w:tr>
      <w:tr>
        <w:tblPrEx>
          <w:tblCellMar>
            <w:top w:w="80" w:type="dxa"/>
            <w:left w:w="128" w:type="dxa"/>
            <w:bottom w:w="80" w:type="dxa"/>
            <w:right w:w="128" w:type="dxa"/>
          </w:tblCellMar>
        </w:tblPrEx>
        <w:trPr>
          <w:trHeight w:val="0" w:hRule="atLeast"/>
          <w:jc w:val="center"/>
        </w:trPr>
        <w:tc>
          <w:tcPr>
            <w:tcW w:w="25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hanging="210"/>
              <w:jc w:val="center"/>
              <w:rPr>
                <w:rFonts w:ascii="宋体" w:hAnsi="宋体" w:cs="宋体"/>
                <w:color w:val="auto"/>
                <w:kern w:val="1"/>
                <w:sz w:val="24"/>
                <w:szCs w:val="24"/>
                <w:highlight w:val="none"/>
              </w:rPr>
            </w:pPr>
            <w:r>
              <w:rPr>
                <w:rFonts w:ascii="宋体" w:hAnsi="宋体" w:cs="宋体"/>
                <w:color w:val="auto"/>
                <w:kern w:val="1"/>
                <w:sz w:val="24"/>
                <w:szCs w:val="24"/>
                <w:highlight w:val="none"/>
              </w:rPr>
              <w:t>分值构成</w:t>
            </w:r>
          </w:p>
          <w:p>
            <w:pPr>
              <w:snapToGrid w:val="0"/>
              <w:ind w:hanging="210"/>
              <w:jc w:val="center"/>
              <w:rPr>
                <w:rFonts w:ascii="宋体" w:hAnsi="宋体" w:cs="宋体"/>
                <w:color w:val="auto"/>
                <w:kern w:val="1"/>
                <w:sz w:val="24"/>
                <w:szCs w:val="24"/>
                <w:highlight w:val="none"/>
              </w:rPr>
            </w:pPr>
            <w:r>
              <w:rPr>
                <w:rFonts w:ascii="宋体" w:hAnsi="宋体" w:cs="宋体"/>
                <w:color w:val="auto"/>
                <w:kern w:val="1"/>
                <w:sz w:val="24"/>
                <w:szCs w:val="24"/>
                <w:highlight w:val="none"/>
              </w:rPr>
              <w:t>(总分100分)</w:t>
            </w:r>
          </w:p>
        </w:tc>
        <w:tc>
          <w:tcPr>
            <w:tcW w:w="733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auto"/>
                <w:kern w:val="1"/>
                <w:sz w:val="24"/>
                <w:szCs w:val="24"/>
                <w:highlight w:val="none"/>
              </w:rPr>
            </w:pPr>
            <w:r>
              <w:rPr>
                <w:rFonts w:hint="eastAsia" w:ascii="宋体" w:hAnsi="宋体" w:cs="宋体"/>
                <w:color w:val="auto"/>
                <w:kern w:val="1"/>
                <w:sz w:val="24"/>
                <w:szCs w:val="24"/>
                <w:highlight w:val="none"/>
              </w:rPr>
              <w:t>商务标</w:t>
            </w:r>
            <w:r>
              <w:rPr>
                <w:rFonts w:ascii="宋体" w:hAnsi="宋体" w:cs="宋体"/>
                <w:color w:val="auto"/>
                <w:kern w:val="1"/>
                <w:sz w:val="24"/>
                <w:szCs w:val="24"/>
                <w:highlight w:val="none"/>
              </w:rPr>
              <w:t>：</w:t>
            </w:r>
            <w:r>
              <w:rPr>
                <w:rFonts w:hint="eastAsia" w:ascii="宋体" w:hAnsi="宋体" w:cs="宋体"/>
                <w:color w:val="auto"/>
                <w:kern w:val="1"/>
                <w:sz w:val="24"/>
                <w:szCs w:val="24"/>
                <w:highlight w:val="none"/>
                <w:u w:val="single"/>
              </w:rPr>
              <w:t>30</w:t>
            </w:r>
            <w:r>
              <w:rPr>
                <w:rFonts w:ascii="宋体" w:hAnsi="宋体" w:cs="宋体"/>
                <w:color w:val="auto"/>
                <w:kern w:val="1"/>
                <w:sz w:val="24"/>
                <w:szCs w:val="24"/>
                <w:highlight w:val="none"/>
              </w:rPr>
              <w:t>分</w:t>
            </w:r>
          </w:p>
          <w:p>
            <w:pPr>
              <w:snapToGrid w:val="0"/>
              <w:rPr>
                <w:rFonts w:ascii="宋体" w:hAnsi="宋体" w:cs="宋体"/>
                <w:color w:val="auto"/>
                <w:kern w:val="1"/>
                <w:sz w:val="24"/>
                <w:szCs w:val="24"/>
                <w:highlight w:val="none"/>
              </w:rPr>
            </w:pPr>
            <w:r>
              <w:rPr>
                <w:rFonts w:ascii="宋体" w:hAnsi="宋体" w:cs="宋体"/>
                <w:color w:val="auto"/>
                <w:kern w:val="1"/>
                <w:sz w:val="24"/>
                <w:szCs w:val="24"/>
                <w:highlight w:val="none"/>
              </w:rPr>
              <w:t>技术标：</w:t>
            </w:r>
            <w:r>
              <w:rPr>
                <w:rFonts w:hint="eastAsia" w:ascii="宋体" w:hAnsi="宋体" w:cs="宋体"/>
                <w:color w:val="auto"/>
                <w:kern w:val="1"/>
                <w:sz w:val="24"/>
                <w:szCs w:val="24"/>
                <w:highlight w:val="none"/>
                <w:u w:val="single"/>
              </w:rPr>
              <w:t>40</w:t>
            </w:r>
            <w:r>
              <w:rPr>
                <w:rFonts w:ascii="宋体" w:hAnsi="宋体" w:cs="宋体"/>
                <w:color w:val="auto"/>
                <w:kern w:val="1"/>
                <w:sz w:val="24"/>
                <w:szCs w:val="24"/>
                <w:highlight w:val="none"/>
              </w:rPr>
              <w:t>分</w:t>
            </w:r>
          </w:p>
          <w:p>
            <w:pPr>
              <w:snapToGrid w:val="0"/>
              <w:rPr>
                <w:rFonts w:ascii="宋体" w:hAnsi="宋体" w:cs="宋体"/>
                <w:color w:val="auto"/>
                <w:kern w:val="1"/>
                <w:sz w:val="24"/>
                <w:szCs w:val="24"/>
                <w:highlight w:val="none"/>
              </w:rPr>
            </w:pPr>
            <w:r>
              <w:rPr>
                <w:rFonts w:ascii="宋体" w:hAnsi="宋体" w:cs="宋体"/>
                <w:color w:val="auto"/>
                <w:kern w:val="1"/>
                <w:sz w:val="24"/>
                <w:szCs w:val="24"/>
                <w:highlight w:val="none"/>
              </w:rPr>
              <w:t>综合标：</w:t>
            </w:r>
            <w:r>
              <w:rPr>
                <w:rFonts w:hint="eastAsia" w:ascii="宋体" w:hAnsi="宋体" w:cs="宋体"/>
                <w:color w:val="auto"/>
                <w:kern w:val="1"/>
                <w:sz w:val="24"/>
                <w:szCs w:val="24"/>
                <w:highlight w:val="none"/>
                <w:u w:val="single"/>
              </w:rPr>
              <w:t>30</w:t>
            </w:r>
            <w:r>
              <w:rPr>
                <w:rFonts w:ascii="宋体" w:hAnsi="宋体" w:cs="宋体"/>
                <w:color w:val="auto"/>
                <w:kern w:val="1"/>
                <w:sz w:val="24"/>
                <w:szCs w:val="24"/>
                <w:highlight w:val="none"/>
              </w:rPr>
              <w:t>分</w:t>
            </w:r>
          </w:p>
        </w:tc>
      </w:tr>
      <w:tr>
        <w:tblPrEx>
          <w:tblCellMar>
            <w:top w:w="80" w:type="dxa"/>
            <w:left w:w="128" w:type="dxa"/>
            <w:bottom w:w="80" w:type="dxa"/>
            <w:right w:w="128" w:type="dxa"/>
          </w:tblCellMar>
        </w:tblPrEx>
        <w:trPr>
          <w:trHeight w:val="0" w:hRule="atLeast"/>
          <w:jc w:val="center"/>
        </w:trPr>
        <w:tc>
          <w:tcPr>
            <w:tcW w:w="25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kern w:val="1"/>
                <w:szCs w:val="21"/>
                <w:highlight w:val="none"/>
              </w:rPr>
            </w:pPr>
            <w:r>
              <w:rPr>
                <w:rFonts w:ascii="宋体" w:hAnsi="宋体" w:cs="宋体"/>
                <w:b/>
                <w:color w:val="auto"/>
                <w:kern w:val="1"/>
                <w:szCs w:val="21"/>
                <w:highlight w:val="none"/>
              </w:rPr>
              <w:t>评分因素</w:t>
            </w:r>
          </w:p>
        </w:tc>
        <w:tc>
          <w:tcPr>
            <w:tcW w:w="73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kern w:val="1"/>
                <w:szCs w:val="21"/>
                <w:highlight w:val="none"/>
              </w:rPr>
            </w:pPr>
            <w:r>
              <w:rPr>
                <w:rFonts w:ascii="宋体" w:hAnsi="宋体" w:cs="宋体"/>
                <w:b/>
                <w:color w:val="auto"/>
                <w:kern w:val="1"/>
                <w:szCs w:val="21"/>
                <w:highlight w:val="none"/>
              </w:rPr>
              <w:t>评分标准</w:t>
            </w:r>
          </w:p>
        </w:tc>
      </w:tr>
      <w:tr>
        <w:tblPrEx>
          <w:tblCellMar>
            <w:top w:w="80" w:type="dxa"/>
            <w:left w:w="128" w:type="dxa"/>
            <w:bottom w:w="80" w:type="dxa"/>
            <w:right w:w="128" w:type="dxa"/>
          </w:tblCellMar>
        </w:tblPrEx>
        <w:trPr>
          <w:trHeight w:val="4768" w:hRule="atLeast"/>
          <w:jc w:val="center"/>
        </w:trPr>
        <w:tc>
          <w:tcPr>
            <w:tcW w:w="12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kern w:val="1"/>
                <w:sz w:val="24"/>
                <w:szCs w:val="24"/>
                <w:highlight w:val="none"/>
              </w:rPr>
            </w:pPr>
            <w:bookmarkStart w:id="139" w:name="OLE_LINK18" w:colFirst="1" w:colLast="2"/>
            <w:r>
              <w:rPr>
                <w:rFonts w:hint="eastAsia" w:ascii="宋体" w:hAnsi="宋体" w:cs="宋体"/>
                <w:color w:val="auto"/>
                <w:kern w:val="1"/>
                <w:sz w:val="24"/>
                <w:szCs w:val="24"/>
                <w:highlight w:val="none"/>
              </w:rPr>
              <w:t>商务标</w:t>
            </w:r>
          </w:p>
          <w:p>
            <w:pPr>
              <w:snapToGrid w:val="0"/>
              <w:jc w:val="both"/>
              <w:rPr>
                <w:rFonts w:ascii="宋体" w:hAnsi="宋体" w:cs="宋体"/>
                <w:color w:val="auto"/>
                <w:kern w:val="1"/>
                <w:sz w:val="24"/>
                <w:szCs w:val="24"/>
                <w:highlight w:val="none"/>
              </w:rPr>
            </w:pP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rPr>
              <w:t>30</w:t>
            </w:r>
            <w:r>
              <w:rPr>
                <w:rFonts w:ascii="宋体" w:hAnsi="宋体" w:cs="宋体"/>
                <w:color w:val="auto"/>
                <w:kern w:val="1"/>
                <w:sz w:val="24"/>
                <w:szCs w:val="24"/>
                <w:highlight w:val="none"/>
              </w:rPr>
              <w:t>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磋商</w:t>
            </w:r>
          </w:p>
          <w:p>
            <w:pPr>
              <w:snapToGrid w:val="0"/>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报价</w:t>
            </w:r>
          </w:p>
        </w:tc>
        <w:tc>
          <w:tcPr>
            <w:tcW w:w="7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auto"/>
              <w:ind w:left="0" w:leftChars="0" w:firstLine="440" w:firstLineChars="2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磋商报价高于招标控制价为无效标；</w:t>
            </w:r>
          </w:p>
          <w:p>
            <w:pPr>
              <w:keepNext w:val="0"/>
              <w:keepLines w:val="0"/>
              <w:pageBreakBefore w:val="0"/>
              <w:widowControl w:val="0"/>
              <w:kinsoku/>
              <w:wordWrap/>
              <w:overflowPunct/>
              <w:topLinePunct w:val="0"/>
              <w:autoSpaceDE/>
              <w:autoSpaceDN/>
              <w:bidi w:val="0"/>
              <w:snapToGrid w:val="0"/>
              <w:spacing w:line="360" w:lineRule="auto"/>
              <w:ind w:left="0" w:leftChars="0" w:firstLine="440" w:firstLineChars="2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采用低价优先法计算，即满足磋商文件要求且最后报价最低的</w:t>
            </w:r>
            <w:r>
              <w:rPr>
                <w:rFonts w:hint="eastAsia" w:ascii="宋体" w:hAnsi="宋体" w:eastAsia="宋体" w:cs="宋体"/>
                <w:color w:val="000000"/>
                <w:sz w:val="22"/>
                <w:szCs w:val="22"/>
                <w:highlight w:val="none"/>
                <w:lang w:eastAsia="zh-CN"/>
              </w:rPr>
              <w:t>供应商</w:t>
            </w:r>
            <w:r>
              <w:rPr>
                <w:rFonts w:hint="eastAsia" w:ascii="宋体" w:hAnsi="宋体" w:eastAsia="宋体" w:cs="宋体"/>
                <w:color w:val="000000"/>
                <w:sz w:val="22"/>
                <w:szCs w:val="22"/>
                <w:highlight w:val="none"/>
              </w:rPr>
              <w:t>的价格为磋商基准价，其价格分为满分，其他</w:t>
            </w:r>
            <w:r>
              <w:rPr>
                <w:rFonts w:hint="eastAsia" w:ascii="宋体" w:hAnsi="宋体" w:eastAsia="宋体" w:cs="宋体"/>
                <w:color w:val="000000"/>
                <w:sz w:val="22"/>
                <w:szCs w:val="22"/>
                <w:highlight w:val="none"/>
                <w:lang w:eastAsia="zh-CN"/>
              </w:rPr>
              <w:t>供应商</w:t>
            </w:r>
            <w:r>
              <w:rPr>
                <w:rFonts w:hint="eastAsia" w:ascii="宋体" w:hAnsi="宋体" w:eastAsia="宋体" w:cs="宋体"/>
                <w:color w:val="000000"/>
                <w:sz w:val="22"/>
                <w:szCs w:val="22"/>
                <w:highlight w:val="none"/>
              </w:rPr>
              <w:t>的价格分按下列公式计算：</w:t>
            </w:r>
          </w:p>
          <w:p>
            <w:pPr>
              <w:keepNext w:val="0"/>
              <w:keepLines w:val="0"/>
              <w:pageBreakBefore w:val="0"/>
              <w:widowControl w:val="0"/>
              <w:kinsoku/>
              <w:wordWrap/>
              <w:overflowPunct/>
              <w:topLinePunct w:val="0"/>
              <w:autoSpaceDE/>
              <w:autoSpaceDN/>
              <w:bidi w:val="0"/>
              <w:snapToGrid w:val="0"/>
              <w:spacing w:line="360" w:lineRule="auto"/>
              <w:ind w:left="0" w:leftChars="0" w:firstLine="440" w:firstLineChars="20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磋商报价得分=（磋商基准价/最后磋商报价）× 30%×100</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如</w:t>
            </w:r>
            <w:r>
              <w:rPr>
                <w:rFonts w:hint="eastAsia" w:ascii="宋体" w:hAnsi="宋体" w:eastAsia="宋体" w:cs="宋体"/>
                <w:color w:val="000000"/>
                <w:sz w:val="22"/>
                <w:szCs w:val="22"/>
                <w:highlight w:val="none"/>
                <w:lang w:eastAsia="zh-CN"/>
              </w:rPr>
              <w:t>磋商小组成员</w:t>
            </w:r>
            <w:r>
              <w:rPr>
                <w:rFonts w:hint="eastAsia" w:ascii="宋体" w:hAnsi="宋体" w:eastAsia="宋体" w:cs="宋体"/>
                <w:color w:val="000000"/>
                <w:sz w:val="22"/>
                <w:szCs w:val="22"/>
                <w:highlight w:val="none"/>
              </w:rPr>
              <w:t>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w:t>
            </w:r>
            <w:r>
              <w:rPr>
                <w:rFonts w:hint="eastAsia" w:ascii="宋体" w:hAnsi="宋体" w:eastAsia="宋体" w:cs="宋体"/>
                <w:color w:val="000000"/>
                <w:sz w:val="22"/>
                <w:szCs w:val="22"/>
                <w:highlight w:val="none"/>
                <w:lang w:eastAsia="zh-CN"/>
              </w:rPr>
              <w:t>磋商小组成员</w:t>
            </w:r>
            <w:r>
              <w:rPr>
                <w:rFonts w:hint="eastAsia" w:ascii="宋体" w:hAnsi="宋体" w:eastAsia="宋体" w:cs="宋体"/>
                <w:color w:val="000000"/>
                <w:sz w:val="22"/>
                <w:szCs w:val="22"/>
                <w:highlight w:val="none"/>
              </w:rPr>
              <w:t>取得一致意见后，</w:t>
            </w:r>
            <w:r>
              <w:rPr>
                <w:rFonts w:hint="eastAsia" w:ascii="宋体" w:hAnsi="宋体" w:eastAsia="宋体" w:cs="宋体"/>
                <w:color w:val="000000"/>
                <w:sz w:val="22"/>
                <w:szCs w:val="22"/>
                <w:highlight w:val="none"/>
                <w:lang w:eastAsia="zh-CN"/>
              </w:rPr>
              <w:t>磋商小组</w:t>
            </w:r>
            <w:r>
              <w:rPr>
                <w:rFonts w:hint="eastAsia" w:ascii="宋体" w:hAnsi="宋体" w:eastAsia="宋体" w:cs="宋体"/>
                <w:color w:val="000000"/>
                <w:sz w:val="22"/>
                <w:szCs w:val="22"/>
                <w:highlight w:val="none"/>
              </w:rPr>
              <w:t>应当将其作为无效投标处理。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b/>
                <w:bCs/>
                <w:sz w:val="22"/>
                <w:szCs w:val="22"/>
              </w:rPr>
            </w:pPr>
            <w:r>
              <w:rPr>
                <w:rFonts w:hint="eastAsia" w:ascii="宋体" w:hAnsi="宋体"/>
                <w:sz w:val="22"/>
                <w:szCs w:val="22"/>
                <w:lang w:val="en-US" w:eastAsia="zh-CN"/>
              </w:rPr>
              <w:t>1、</w:t>
            </w:r>
            <w:r>
              <w:rPr>
                <w:rFonts w:hint="eastAsia" w:ascii="宋体" w:hAnsi="宋体"/>
                <w:sz w:val="22"/>
                <w:szCs w:val="22"/>
              </w:rPr>
              <w:t>关于小微企业、监狱企业、残疾人福利性单位产品价格扣除根据财政部、工信部关于印发《政府采购促进中小企业发展管理办法》的通知（财库〔2020〕46号）和郑财购〔</w:t>
            </w:r>
            <w:r>
              <w:rPr>
                <w:rFonts w:ascii="宋体" w:hAnsi="宋体"/>
                <w:sz w:val="22"/>
                <w:szCs w:val="22"/>
              </w:rPr>
              <w:t>2022</w:t>
            </w:r>
            <w:r>
              <w:rPr>
                <w:rFonts w:hint="eastAsia" w:ascii="宋体" w:hAnsi="宋体"/>
                <w:sz w:val="22"/>
                <w:szCs w:val="22"/>
              </w:rPr>
              <w:t>〕</w:t>
            </w:r>
            <w:r>
              <w:rPr>
                <w:rFonts w:ascii="宋体" w:hAnsi="宋体"/>
                <w:sz w:val="22"/>
                <w:szCs w:val="22"/>
              </w:rPr>
              <w:t xml:space="preserve">5 </w:t>
            </w:r>
            <w:r>
              <w:rPr>
                <w:rFonts w:hint="eastAsia" w:ascii="宋体" w:hAnsi="宋体"/>
                <w:sz w:val="22"/>
                <w:szCs w:val="22"/>
              </w:rPr>
              <w:t>号文件规定：</w:t>
            </w:r>
            <w:r>
              <w:rPr>
                <w:rFonts w:hint="eastAsia" w:ascii="宋体" w:hAnsi="宋体"/>
                <w:b/>
                <w:bCs/>
                <w:sz w:val="22"/>
                <w:szCs w:val="22"/>
              </w:rPr>
              <w:t>本项目的扣除比例20%；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sz w:val="22"/>
                <w:szCs w:val="22"/>
              </w:rPr>
            </w:pPr>
            <w:r>
              <w:rPr>
                <w:rFonts w:hint="eastAsia" w:ascii="宋体" w:hAnsi="宋体"/>
                <w:sz w:val="22"/>
                <w:szCs w:val="22"/>
                <w:lang w:val="en-US" w:eastAsia="zh-CN"/>
              </w:rPr>
              <w:t>2、</w:t>
            </w:r>
            <w:r>
              <w:rPr>
                <w:rFonts w:hint="eastAsia" w:ascii="宋体" w:hAnsi="宋体"/>
                <w:sz w:val="22"/>
                <w:szCs w:val="22"/>
              </w:rPr>
              <w:t>关于监狱企业：视同小微企业。须提供由省级以上监狱管理局、戒毒管理局（含新疆生产建设兵团）出具的属于监狱企业的证明文件，否则不考虑价格扣除。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color w:val="auto"/>
                <w:highlight w:val="none"/>
              </w:rPr>
            </w:pPr>
            <w:r>
              <w:rPr>
                <w:rFonts w:hint="eastAsia" w:ascii="宋体" w:hAnsi="宋体"/>
                <w:sz w:val="22"/>
                <w:szCs w:val="22"/>
                <w:lang w:val="en-US" w:eastAsia="zh-CN"/>
              </w:rPr>
              <w:t>3、</w:t>
            </w:r>
            <w:r>
              <w:rPr>
                <w:rFonts w:hint="eastAsia" w:ascii="宋体" w:hAnsi="宋体"/>
                <w:sz w:val="22"/>
                <w:szCs w:val="22"/>
              </w:rPr>
              <w:t>关于残疾人福利性单位：视同小微企业。须提供完整的“残疾人福利性单位声明函”，否则在价格评审时不予考虑价格扣除。残疾人福利性单位属于小型、微型企业的，不重复享受政策。</w:t>
            </w:r>
          </w:p>
        </w:tc>
      </w:tr>
      <w:bookmarkEnd w:id="139"/>
    </w:tbl>
    <w:tbl>
      <w:tblPr>
        <w:tblStyle w:val="11"/>
        <w:tblpPr w:leftFromText="180" w:rightFromText="180" w:vertAnchor="text" w:horzAnchor="page" w:tblpX="1154" w:tblpY="11"/>
        <w:tblOverlap w:val="never"/>
        <w:tblW w:w="9878" w:type="dxa"/>
        <w:tblInd w:w="0" w:type="dxa"/>
        <w:tblLayout w:type="fixed"/>
        <w:tblCellMar>
          <w:top w:w="45" w:type="dxa"/>
          <w:left w:w="96" w:type="dxa"/>
          <w:bottom w:w="45" w:type="dxa"/>
          <w:right w:w="96" w:type="dxa"/>
        </w:tblCellMar>
      </w:tblPr>
      <w:tblGrid>
        <w:gridCol w:w="1227"/>
        <w:gridCol w:w="1411"/>
        <w:gridCol w:w="6474"/>
        <w:gridCol w:w="766"/>
      </w:tblGrid>
      <w:tr>
        <w:tblPrEx>
          <w:tblCellMar>
            <w:top w:w="45" w:type="dxa"/>
            <w:left w:w="96" w:type="dxa"/>
            <w:bottom w:w="45" w:type="dxa"/>
            <w:right w:w="96" w:type="dxa"/>
          </w:tblCellMar>
        </w:tblPrEx>
        <w:trPr>
          <w:trHeight w:val="0" w:hRule="atLeast"/>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cs="宋体"/>
                <w:color w:val="auto"/>
                <w:spacing w:val="6"/>
                <w:kern w:val="1"/>
                <w:sz w:val="24"/>
                <w:szCs w:val="24"/>
                <w:highlight w:val="none"/>
              </w:rPr>
            </w:pPr>
            <w:bookmarkStart w:id="140" w:name="OLE_LINK19" w:colFirst="1" w:colLast="2"/>
          </w:p>
          <w:p>
            <w:pPr>
              <w:snapToGrid w:val="0"/>
              <w:spacing w:line="312" w:lineRule="auto"/>
              <w:jc w:val="center"/>
              <w:rPr>
                <w:rFonts w:hint="eastAsia" w:ascii="宋体" w:hAnsi="宋体" w:cs="宋体"/>
                <w:color w:val="auto"/>
                <w:spacing w:val="6"/>
                <w:kern w:val="1"/>
                <w:sz w:val="24"/>
                <w:szCs w:val="24"/>
                <w:highlight w:val="none"/>
              </w:rPr>
            </w:pPr>
          </w:p>
          <w:p>
            <w:pPr>
              <w:snapToGrid w:val="0"/>
              <w:spacing w:line="312" w:lineRule="auto"/>
              <w:jc w:val="center"/>
              <w:rPr>
                <w:rFonts w:ascii="宋体" w:hAnsi="宋体" w:cs="宋体"/>
                <w:color w:val="auto"/>
                <w:spacing w:val="6"/>
                <w:kern w:val="1"/>
                <w:sz w:val="24"/>
                <w:szCs w:val="24"/>
                <w:highlight w:val="none"/>
              </w:rPr>
            </w:pPr>
            <w:r>
              <w:rPr>
                <w:rFonts w:hint="eastAsia" w:ascii="宋体" w:hAnsi="宋体" w:cs="宋体"/>
                <w:color w:val="auto"/>
                <w:spacing w:val="6"/>
                <w:kern w:val="1"/>
                <w:sz w:val="24"/>
                <w:szCs w:val="24"/>
                <w:highlight w:val="none"/>
              </w:rPr>
              <w:t>技术标</w:t>
            </w:r>
          </w:p>
          <w:p>
            <w:pPr>
              <w:snapToGrid w:val="0"/>
              <w:spacing w:line="312" w:lineRule="auto"/>
              <w:jc w:val="center"/>
              <w:rPr>
                <w:rFonts w:ascii="宋体" w:hAnsi="宋体" w:cs="宋体"/>
                <w:color w:val="auto"/>
                <w:spacing w:val="6"/>
                <w:kern w:val="1"/>
                <w:sz w:val="24"/>
                <w:szCs w:val="24"/>
                <w:highlight w:val="none"/>
              </w:rPr>
            </w:pPr>
            <w:r>
              <w:rPr>
                <w:rFonts w:hint="eastAsia" w:ascii="宋体" w:hAnsi="宋体" w:cs="宋体"/>
                <w:color w:val="auto"/>
                <w:spacing w:val="6"/>
                <w:kern w:val="1"/>
                <w:sz w:val="24"/>
                <w:szCs w:val="24"/>
                <w:highlight w:val="none"/>
              </w:rPr>
              <w:t>(4</w:t>
            </w:r>
            <w:r>
              <w:rPr>
                <w:rFonts w:hint="eastAsia" w:ascii="宋体" w:hAnsi="宋体" w:cs="宋体"/>
                <w:color w:val="auto"/>
                <w:spacing w:val="6"/>
                <w:kern w:val="1"/>
                <w:sz w:val="24"/>
                <w:szCs w:val="24"/>
                <w:highlight w:val="none"/>
                <w:lang w:val="en-US" w:eastAsia="zh-CN"/>
              </w:rPr>
              <w:t>0</w:t>
            </w:r>
            <w:r>
              <w:rPr>
                <w:rFonts w:ascii="宋体" w:hAnsi="宋体" w:cs="宋体"/>
                <w:color w:val="auto"/>
                <w:spacing w:val="6"/>
                <w:kern w:val="1"/>
                <w:sz w:val="24"/>
                <w:szCs w:val="24"/>
                <w:highlight w:val="none"/>
              </w:rPr>
              <w:t>分</w:t>
            </w:r>
            <w:r>
              <w:rPr>
                <w:rFonts w:hint="eastAsia" w:ascii="宋体" w:hAnsi="宋体" w:cs="宋体"/>
                <w:color w:val="auto"/>
                <w:spacing w:val="6"/>
                <w:kern w:val="1"/>
                <w:sz w:val="24"/>
                <w:szCs w:val="24"/>
                <w:highlight w:val="none"/>
              </w:rPr>
              <w:t>)</w:t>
            </w:r>
          </w:p>
          <w:p>
            <w:pPr>
              <w:snapToGrid w:val="0"/>
              <w:spacing w:line="312" w:lineRule="auto"/>
              <w:jc w:val="center"/>
              <w:rPr>
                <w:rFonts w:ascii="宋体" w:hAnsi="宋体" w:cs="宋体"/>
                <w:color w:val="auto"/>
                <w:spacing w:val="6"/>
                <w:kern w:val="1"/>
                <w:sz w:val="24"/>
                <w:szCs w:val="24"/>
                <w:highlight w:val="none"/>
              </w:rPr>
            </w:pPr>
          </w:p>
          <w:p>
            <w:pPr>
              <w:snapToGrid w:val="0"/>
              <w:spacing w:line="312" w:lineRule="auto"/>
              <w:jc w:val="center"/>
              <w:rPr>
                <w:rFonts w:ascii="宋体" w:hAnsi="宋体" w:cs="宋体"/>
                <w:color w:val="auto"/>
                <w:spacing w:val="6"/>
                <w:kern w:val="1"/>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施工方案与技术措施</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科学、合理、满足要求的5分；基本合理、基本满足要求的3分；不满足要求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5分</w:t>
            </w:r>
          </w:p>
        </w:tc>
      </w:tr>
      <w:bookmarkEnd w:id="140"/>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1" w:name="OLE_LINK20"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质量管理体系与措施</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科学、合理、满足要求的5分；基本合理、基本满足要求的3分；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r>
      <w:bookmarkEnd w:id="141"/>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2" w:name="OLE_LINK21"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安全管理体系与措施</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科学、合理、满足要求的5分；基本合理、基本满足要求的3分；</w:t>
            </w:r>
            <w:bookmarkStart w:id="714" w:name="_GoBack"/>
            <w:bookmarkEnd w:id="714"/>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r>
      <w:bookmarkEnd w:id="142"/>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3" w:name="OLE_LINK22"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环境保护管理体系与措施</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分；基本合理、基本满足要求的</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bookmarkEnd w:id="143"/>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4" w:name="OLE_LINK23"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工程进度计划与措施</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科学、合理、满足要求的5分；基本合理、基本满足要求的3分；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r>
      <w:bookmarkEnd w:id="144"/>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5" w:name="OLE_LINK24"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拟投入资源配备计划</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分；基本合理、基本满足要求的</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bookmarkEnd w:id="145"/>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6" w:name="OLE_LINK25"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施工</w:t>
            </w:r>
            <w:r>
              <w:rPr>
                <w:rFonts w:hint="eastAsia" w:ascii="宋体" w:hAnsi="宋体" w:eastAsia="宋体" w:cs="宋体"/>
                <w:color w:val="auto"/>
                <w:kern w:val="0"/>
                <w:sz w:val="24"/>
                <w:szCs w:val="24"/>
                <w:highlight w:val="none"/>
                <w:lang w:val="en-US" w:eastAsia="zh-CN"/>
              </w:rPr>
              <w:t>进度表</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分；基本合理、基本满足要求的</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bookmarkEnd w:id="146"/>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bookmarkStart w:id="147" w:name="OLE_LINK26"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节能减排与工艺创新</w:t>
            </w:r>
          </w:p>
        </w:tc>
        <w:tc>
          <w:tcPr>
            <w:tcW w:w="6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科学、合理、满足要求的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分；基本合理、基本满足要求的</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rPr>
              <w:t>不满足要求</w:t>
            </w:r>
            <w:r>
              <w:rPr>
                <w:rFonts w:hint="eastAsia" w:ascii="宋体" w:hAnsi="宋体" w:cs="宋体"/>
                <w:color w:val="auto"/>
                <w:kern w:val="0"/>
                <w:sz w:val="24"/>
                <w:szCs w:val="24"/>
                <w:highlight w:val="none"/>
                <w:lang w:val="en-US" w:eastAsia="zh-CN"/>
              </w:rPr>
              <w:t>得1分，没有</w:t>
            </w:r>
            <w:r>
              <w:rPr>
                <w:rFonts w:hint="eastAsia" w:ascii="宋体" w:hAnsi="宋体" w:cs="宋体"/>
                <w:color w:val="auto"/>
                <w:kern w:val="0"/>
                <w:sz w:val="24"/>
                <w:szCs w:val="24"/>
                <w:highlight w:val="none"/>
              </w:rPr>
              <w:t>不得分。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bookmarkEnd w:id="147"/>
      <w:tr>
        <w:tblPrEx>
          <w:tblCellMar>
            <w:top w:w="45" w:type="dxa"/>
            <w:left w:w="96" w:type="dxa"/>
            <w:bottom w:w="45" w:type="dxa"/>
            <w:right w:w="96" w:type="dxa"/>
          </w:tblCellMar>
        </w:tblPrEx>
        <w:trPr>
          <w:trHeight w:val="809"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p>
        </w:tc>
        <w:tc>
          <w:tcPr>
            <w:tcW w:w="8651"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12" w:lineRule="auto"/>
              <w:jc w:val="left"/>
              <w:rPr>
                <w:rFonts w:hint="eastAsia" w:ascii="宋体" w:hAnsi="宋体" w:eastAsia="宋体" w:cs="宋体"/>
                <w:color w:val="auto"/>
                <w:kern w:val="1"/>
                <w:sz w:val="24"/>
                <w:szCs w:val="24"/>
                <w:highlight w:val="none"/>
              </w:rPr>
            </w:pPr>
            <w:r>
              <w:rPr>
                <w:rFonts w:hint="eastAsia" w:ascii="宋体" w:hAnsi="宋体" w:eastAsia="宋体" w:cs="宋体"/>
                <w:color w:val="auto"/>
                <w:kern w:val="0"/>
                <w:sz w:val="24"/>
                <w:szCs w:val="24"/>
                <w:highlight w:val="none"/>
              </w:rPr>
              <w:t>注：以上内容缺项者，该项不得分；评委根据编制内容的齐全、突出、可行性等原则，自行酌情给分。</w:t>
            </w:r>
          </w:p>
        </w:tc>
      </w:tr>
      <w:tr>
        <w:tblPrEx>
          <w:tblCellMar>
            <w:top w:w="45" w:type="dxa"/>
            <w:left w:w="96" w:type="dxa"/>
            <w:bottom w:w="45" w:type="dxa"/>
            <w:right w:w="96" w:type="dxa"/>
          </w:tblCellMar>
        </w:tblPrEx>
        <w:trPr>
          <w:trHeight w:val="0" w:hRule="atLeast"/>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kern w:val="1"/>
                <w:sz w:val="24"/>
                <w:szCs w:val="24"/>
                <w:highlight w:val="none"/>
              </w:rPr>
            </w:pPr>
            <w:bookmarkStart w:id="148" w:name="OLE_LINK27" w:colFirst="1" w:colLast="2"/>
            <w:r>
              <w:rPr>
                <w:rFonts w:hint="eastAsia" w:ascii="宋体" w:hAnsi="宋体" w:eastAsia="宋体" w:cs="宋体"/>
                <w:color w:val="auto"/>
                <w:kern w:val="1"/>
                <w:sz w:val="24"/>
                <w:szCs w:val="24"/>
                <w:highlight w:val="none"/>
              </w:rPr>
              <w:t>综合标</w:t>
            </w:r>
          </w:p>
          <w:p>
            <w:pPr>
              <w:snapToGrid w:val="0"/>
              <w:spacing w:line="312"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(30分)</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color w:val="auto"/>
                <w:kern w:val="1"/>
                <w:sz w:val="24"/>
                <w:szCs w:val="24"/>
                <w:highlight w:val="none"/>
              </w:rPr>
            </w:pPr>
            <w:r>
              <w:rPr>
                <w:rFonts w:hint="eastAsia" w:ascii="宋体" w:hAnsi="宋体" w:eastAsia="宋体"/>
                <w:color w:val="auto"/>
                <w:kern w:val="1"/>
                <w:sz w:val="24"/>
                <w:szCs w:val="24"/>
              </w:rPr>
              <w:t>履职尽责承诺(1</w:t>
            </w:r>
            <w:r>
              <w:rPr>
                <w:rFonts w:hint="eastAsia" w:ascii="宋体" w:hAnsi="宋体" w:eastAsia="宋体"/>
                <w:color w:val="auto"/>
                <w:kern w:val="1"/>
                <w:sz w:val="24"/>
                <w:szCs w:val="24"/>
                <w:lang w:val="en-US" w:eastAsia="zh-CN"/>
              </w:rPr>
              <w:t>2</w:t>
            </w:r>
            <w:r>
              <w:rPr>
                <w:rFonts w:hint="eastAsia" w:ascii="宋体" w:hAnsi="宋体" w:eastAsia="宋体"/>
                <w:color w:val="auto"/>
                <w:kern w:val="1"/>
                <w:sz w:val="24"/>
                <w:szCs w:val="24"/>
              </w:rPr>
              <w:t>分)</w:t>
            </w:r>
          </w:p>
        </w:tc>
        <w:tc>
          <w:tcPr>
            <w:tcW w:w="7240" w:type="dxa"/>
            <w:gridSpan w:val="2"/>
            <w:tcBorders>
              <w:top w:val="single" w:color="auto" w:sz="4" w:space="0"/>
              <w:left w:val="single" w:color="auto" w:sz="4" w:space="0"/>
              <w:bottom w:val="single" w:color="auto" w:sz="4" w:space="0"/>
              <w:right w:val="single" w:color="auto" w:sz="4" w:space="0"/>
            </w:tcBorders>
            <w:noWrap w:val="0"/>
            <w:vAlign w:val="center"/>
          </w:tcPr>
          <w:p>
            <w:pPr>
              <w:pStyle w:val="15"/>
              <w:snapToGrid w:val="0"/>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及相关技术人员）的在岗、更换等履职尽责承诺，保证技术措施落实到位的承诺和落实不到位的处理承诺全面、详尽、</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具体措施、可行的，得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分；保证技术措施落实到位的承诺和落实不到位的处理承诺不够全面、详尽、无具体措施的，得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olor w:val="auto"/>
                <w:sz w:val="24"/>
                <w:szCs w:val="24"/>
              </w:rPr>
              <w:t>承诺</w:t>
            </w:r>
            <w:r>
              <w:rPr>
                <w:rFonts w:hint="eastAsia" w:ascii="宋体" w:hAnsi="宋体"/>
                <w:color w:val="auto"/>
                <w:sz w:val="24"/>
                <w:szCs w:val="24"/>
                <w:lang w:val="en-US" w:eastAsia="zh-CN"/>
              </w:rPr>
              <w:t>不完善的得6分；没有不得分</w:t>
            </w:r>
            <w:r>
              <w:rPr>
                <w:rFonts w:hint="eastAsia" w:ascii="宋体" w:hAnsi="宋体" w:eastAsia="宋体"/>
                <w:color w:val="auto"/>
                <w:sz w:val="24"/>
                <w:szCs w:val="24"/>
              </w:rPr>
              <w:t>。</w:t>
            </w:r>
          </w:p>
        </w:tc>
      </w:tr>
      <w:bookmarkEnd w:id="148"/>
      <w:tr>
        <w:tblPrEx>
          <w:tblCellMar>
            <w:top w:w="45" w:type="dxa"/>
            <w:left w:w="96" w:type="dxa"/>
            <w:bottom w:w="45" w:type="dxa"/>
            <w:right w:w="96" w:type="dxa"/>
          </w:tblCellMar>
        </w:tblPrEx>
        <w:trPr>
          <w:trHeight w:val="0" w:hRule="atLeast"/>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kern w:val="1"/>
                <w:sz w:val="24"/>
                <w:szCs w:val="24"/>
                <w:highlight w:val="none"/>
              </w:rPr>
            </w:pPr>
            <w:bookmarkStart w:id="149" w:name="OLE_LINK28"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color w:val="auto"/>
                <w:kern w:val="1"/>
                <w:sz w:val="24"/>
                <w:szCs w:val="24"/>
                <w:highlight w:val="none"/>
              </w:rPr>
            </w:pPr>
            <w:r>
              <w:rPr>
                <w:rFonts w:hint="eastAsia" w:ascii="宋体" w:hAnsi="宋体" w:eastAsia="宋体"/>
                <w:color w:val="auto"/>
                <w:kern w:val="1"/>
                <w:sz w:val="24"/>
                <w:szCs w:val="24"/>
              </w:rPr>
              <w:t>优惠承诺（1</w:t>
            </w:r>
            <w:r>
              <w:rPr>
                <w:rFonts w:hint="eastAsia" w:ascii="宋体" w:hAnsi="宋体" w:eastAsia="宋体"/>
                <w:color w:val="auto"/>
                <w:kern w:val="1"/>
                <w:sz w:val="24"/>
                <w:szCs w:val="24"/>
                <w:lang w:val="en-US" w:eastAsia="zh-CN"/>
              </w:rPr>
              <w:t>2</w:t>
            </w:r>
            <w:r>
              <w:rPr>
                <w:rFonts w:hint="eastAsia" w:ascii="宋体" w:hAnsi="宋体" w:eastAsia="宋体"/>
                <w:color w:val="auto"/>
                <w:kern w:val="1"/>
                <w:sz w:val="24"/>
                <w:szCs w:val="24"/>
              </w:rPr>
              <w:t>分）</w:t>
            </w:r>
          </w:p>
        </w:tc>
        <w:tc>
          <w:tcPr>
            <w:tcW w:w="7240" w:type="dxa"/>
            <w:gridSpan w:val="2"/>
            <w:tcBorders>
              <w:top w:val="single" w:color="auto" w:sz="4" w:space="0"/>
              <w:left w:val="single" w:color="auto" w:sz="4" w:space="0"/>
              <w:bottom w:val="single" w:color="auto" w:sz="4" w:space="0"/>
              <w:right w:val="single" w:color="auto" w:sz="4" w:space="0"/>
            </w:tcBorders>
            <w:noWrap w:val="0"/>
            <w:vAlign w:val="center"/>
          </w:tcPr>
          <w:p>
            <w:pPr>
              <w:pStyle w:val="15"/>
              <w:snapToGrid w:val="0"/>
              <w:spacing w:line="360" w:lineRule="auto"/>
              <w:rPr>
                <w:rFonts w:hint="eastAsia" w:ascii="宋体" w:hAnsi="宋体" w:eastAsia="宋体" w:cs="宋体"/>
                <w:color w:val="auto"/>
                <w:sz w:val="24"/>
                <w:szCs w:val="24"/>
                <w:highlight w:val="none"/>
              </w:rPr>
            </w:pPr>
            <w:r>
              <w:rPr>
                <w:rFonts w:hint="eastAsia" w:ascii="宋体" w:hAnsi="宋体" w:eastAsia="宋体"/>
                <w:color w:val="auto"/>
                <w:sz w:val="24"/>
                <w:szCs w:val="24"/>
              </w:rPr>
              <w:t>优惠承诺应是书面的符合工程实际情况，确保依法依规，优惠合理，承诺科学、合理、切实可行的1</w:t>
            </w:r>
            <w:r>
              <w:rPr>
                <w:rFonts w:hint="eastAsia" w:ascii="宋体" w:hAnsi="宋体"/>
                <w:color w:val="auto"/>
                <w:sz w:val="24"/>
                <w:szCs w:val="24"/>
                <w:lang w:val="en-US" w:eastAsia="zh-CN"/>
              </w:rPr>
              <w:t>2</w:t>
            </w:r>
            <w:r>
              <w:rPr>
                <w:rFonts w:hint="eastAsia" w:ascii="宋体" w:hAnsi="宋体" w:eastAsia="宋体"/>
                <w:color w:val="auto"/>
                <w:sz w:val="24"/>
                <w:szCs w:val="24"/>
              </w:rPr>
              <w:t>分；承诺基本合理，基本符合要求、基本切实可行的</w:t>
            </w:r>
            <w:r>
              <w:rPr>
                <w:rFonts w:hint="eastAsia" w:ascii="宋体" w:hAnsi="宋体"/>
                <w:color w:val="auto"/>
                <w:sz w:val="24"/>
                <w:szCs w:val="24"/>
                <w:lang w:val="en-US" w:eastAsia="zh-CN"/>
              </w:rPr>
              <w:t>8</w:t>
            </w:r>
            <w:r>
              <w:rPr>
                <w:rFonts w:hint="eastAsia" w:ascii="宋体" w:hAnsi="宋体" w:eastAsia="宋体"/>
                <w:color w:val="auto"/>
                <w:sz w:val="24"/>
                <w:szCs w:val="24"/>
              </w:rPr>
              <w:t>分；</w:t>
            </w:r>
            <w:r>
              <w:rPr>
                <w:rFonts w:hint="eastAsia" w:ascii="宋体" w:hAnsi="宋体"/>
                <w:color w:val="auto"/>
                <w:sz w:val="24"/>
                <w:szCs w:val="24"/>
                <w:lang w:val="en-US" w:eastAsia="zh-CN"/>
              </w:rPr>
              <w:t>有</w:t>
            </w:r>
            <w:r>
              <w:rPr>
                <w:rFonts w:hint="eastAsia" w:ascii="宋体" w:hAnsi="宋体" w:eastAsia="宋体"/>
                <w:color w:val="auto"/>
                <w:sz w:val="24"/>
                <w:szCs w:val="24"/>
              </w:rPr>
              <w:t>承诺</w:t>
            </w:r>
            <w:r>
              <w:rPr>
                <w:rFonts w:hint="eastAsia" w:ascii="宋体" w:hAnsi="宋体"/>
                <w:color w:val="auto"/>
                <w:sz w:val="24"/>
                <w:szCs w:val="24"/>
                <w:lang w:val="en-US" w:eastAsia="zh-CN"/>
              </w:rPr>
              <w:t>但不够完善的得6分；没有</w:t>
            </w:r>
            <w:r>
              <w:rPr>
                <w:rFonts w:hint="eastAsia" w:ascii="宋体" w:hAnsi="宋体" w:eastAsia="宋体"/>
                <w:color w:val="auto"/>
                <w:sz w:val="24"/>
                <w:szCs w:val="24"/>
              </w:rPr>
              <w:t>不得分。</w:t>
            </w:r>
          </w:p>
        </w:tc>
      </w:tr>
      <w:bookmarkEnd w:id="149"/>
      <w:tr>
        <w:tblPrEx>
          <w:tblCellMar>
            <w:top w:w="45" w:type="dxa"/>
            <w:left w:w="96" w:type="dxa"/>
            <w:bottom w:w="45" w:type="dxa"/>
            <w:right w:w="96" w:type="dxa"/>
          </w:tblCellMar>
        </w:tblPrEx>
        <w:trPr>
          <w:trHeight w:val="0" w:hRule="atLeast"/>
        </w:trPr>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center"/>
              <w:rPr>
                <w:rFonts w:hint="eastAsia" w:ascii="宋体" w:hAnsi="宋体" w:eastAsia="宋体" w:cs="宋体"/>
                <w:color w:val="auto"/>
                <w:kern w:val="1"/>
                <w:sz w:val="24"/>
                <w:szCs w:val="24"/>
                <w:highlight w:val="none"/>
              </w:rPr>
            </w:pPr>
            <w:bookmarkStart w:id="150" w:name="OLE_LINK29" w:colFirst="1" w:colLast="2"/>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olor w:val="auto"/>
                <w:kern w:val="1"/>
                <w:sz w:val="24"/>
                <w:szCs w:val="24"/>
                <w:lang w:val="en-US" w:eastAsia="zh-CN"/>
              </w:rPr>
            </w:pPr>
            <w:r>
              <w:rPr>
                <w:rFonts w:hint="eastAsia" w:ascii="宋体" w:hAnsi="宋体" w:eastAsia="宋体"/>
                <w:color w:val="auto"/>
                <w:kern w:val="1"/>
                <w:sz w:val="24"/>
                <w:szCs w:val="24"/>
                <w:lang w:val="en-US" w:eastAsia="zh-CN"/>
              </w:rPr>
              <w:t>企业业绩（6分）</w:t>
            </w:r>
          </w:p>
        </w:tc>
        <w:tc>
          <w:tcPr>
            <w:tcW w:w="7240" w:type="dxa"/>
            <w:gridSpan w:val="2"/>
            <w:tcBorders>
              <w:top w:val="single" w:color="auto" w:sz="4" w:space="0"/>
              <w:left w:val="single" w:color="auto" w:sz="4" w:space="0"/>
              <w:bottom w:val="single" w:color="auto" w:sz="4" w:space="0"/>
              <w:right w:val="single" w:color="auto" w:sz="4" w:space="0"/>
            </w:tcBorders>
            <w:noWrap w:val="0"/>
            <w:vAlign w:val="center"/>
          </w:tcPr>
          <w:p>
            <w:pPr>
              <w:pStyle w:val="15"/>
              <w:snapToGrid w:val="0"/>
              <w:spacing w:line="360" w:lineRule="auto"/>
              <w:rPr>
                <w:rFonts w:hint="eastAsia" w:ascii="宋体" w:hAnsi="宋体" w:eastAsia="宋体"/>
                <w:color w:val="auto"/>
                <w:sz w:val="24"/>
                <w:szCs w:val="24"/>
              </w:rPr>
            </w:pPr>
            <w:r>
              <w:rPr>
                <w:rFonts w:hint="eastAsia" w:ascii="宋体" w:hAnsi="宋体" w:cs="宋体"/>
                <w:color w:val="000000"/>
                <w:sz w:val="24"/>
                <w:shd w:val="clear" w:color="auto" w:fill="FFFFFF" w:themeFill="background1"/>
              </w:rPr>
              <w:t>自202</w:t>
            </w:r>
            <w:r>
              <w:rPr>
                <w:rFonts w:hint="eastAsia" w:ascii="宋体" w:hAnsi="宋体" w:cs="宋体"/>
                <w:color w:val="000000"/>
                <w:sz w:val="24"/>
                <w:shd w:val="clear" w:color="auto" w:fill="FFFFFF" w:themeFill="background1"/>
                <w:lang w:val="en-US" w:eastAsia="zh-CN"/>
              </w:rPr>
              <w:t>2</w:t>
            </w:r>
            <w:r>
              <w:rPr>
                <w:rFonts w:hint="eastAsia" w:ascii="宋体" w:hAnsi="宋体" w:cs="宋体"/>
                <w:color w:val="000000"/>
                <w:sz w:val="24"/>
                <w:shd w:val="clear" w:color="auto" w:fill="FFFFFF" w:themeFill="background1"/>
              </w:rPr>
              <w:t>年1月1日以来完成的类似项目业绩的，每提供一项得</w:t>
            </w:r>
            <w:r>
              <w:rPr>
                <w:rFonts w:hint="eastAsia" w:ascii="宋体" w:hAnsi="宋体" w:cs="宋体"/>
                <w:color w:val="000000"/>
                <w:sz w:val="24"/>
                <w:shd w:val="clear" w:color="auto" w:fill="FFFFFF" w:themeFill="background1"/>
                <w:lang w:val="en-US" w:eastAsia="zh-CN"/>
              </w:rPr>
              <w:t>3</w:t>
            </w:r>
            <w:r>
              <w:rPr>
                <w:rFonts w:hint="eastAsia" w:ascii="宋体" w:hAnsi="宋体" w:cs="宋体"/>
                <w:color w:val="000000"/>
                <w:sz w:val="24"/>
                <w:shd w:val="clear" w:color="auto" w:fill="FFFFFF" w:themeFill="background1"/>
              </w:rPr>
              <w:t>分，最多得</w:t>
            </w:r>
            <w:r>
              <w:rPr>
                <w:rFonts w:hint="eastAsia" w:ascii="宋体" w:hAnsi="宋体" w:cs="宋体"/>
                <w:color w:val="000000"/>
                <w:sz w:val="24"/>
                <w:shd w:val="clear" w:color="auto" w:fill="FFFFFF" w:themeFill="background1"/>
                <w:lang w:val="en-US" w:eastAsia="zh-CN"/>
              </w:rPr>
              <w:t>6</w:t>
            </w:r>
            <w:r>
              <w:rPr>
                <w:rFonts w:hint="eastAsia" w:ascii="宋体" w:hAnsi="宋体" w:cs="宋体"/>
                <w:color w:val="000000"/>
                <w:sz w:val="24"/>
                <w:shd w:val="clear" w:color="auto" w:fill="FFFFFF" w:themeFill="background1"/>
              </w:rPr>
              <w:t>分。（以中标通知书或合同协议书为准，磋商响应文件附扫描件）</w:t>
            </w:r>
          </w:p>
        </w:tc>
      </w:tr>
      <w:bookmarkEnd w:id="150"/>
      <w:tr>
        <w:tblPrEx>
          <w:tblCellMar>
            <w:top w:w="45" w:type="dxa"/>
            <w:left w:w="96" w:type="dxa"/>
            <w:bottom w:w="45" w:type="dxa"/>
            <w:right w:w="96" w:type="dxa"/>
          </w:tblCellMar>
        </w:tblPrEx>
        <w:trPr>
          <w:trHeight w:val="0" w:hRule="atLeast"/>
        </w:trPr>
        <w:tc>
          <w:tcPr>
            <w:tcW w:w="987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2"/>
                <w:szCs w:val="22"/>
                <w:highlight w:val="none"/>
              </w:rPr>
              <w:t>投标人综合得分=技术标得分+商务标得分+综合标得分</w:t>
            </w:r>
          </w:p>
          <w:p>
            <w:pPr>
              <w:snapToGrid w:val="0"/>
              <w:spacing w:line="312"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投标人的报价应包含投标人所承诺的应达到的工程质量标准及其他承诺应达到的标准所包含的所有费用。</w:t>
            </w:r>
          </w:p>
          <w:p>
            <w:pPr>
              <w:snapToGrid w:val="0"/>
              <w:spacing w:line="312"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2"/>
                <w:szCs w:val="22"/>
                <w:highlight w:val="none"/>
              </w:rPr>
              <w:t xml:space="preserve">   磋商小组对施工组织设计、企业实力、磋商报价、其他因素得分进行汇总，计算过程和最终结果按四舍五入保留两位小数。以各磋商小组打分的算术平均值作为该投标人的最终得分。</w:t>
            </w:r>
          </w:p>
        </w:tc>
      </w:tr>
    </w:tbl>
    <w:p>
      <w:pPr>
        <w:pStyle w:val="9"/>
        <w:rPr>
          <w:color w:val="auto"/>
          <w:highlight w:val="none"/>
        </w:rPr>
      </w:pPr>
    </w:p>
    <w:p>
      <w:pPr>
        <w:pStyle w:val="4"/>
        <w:spacing w:line="360" w:lineRule="auto"/>
        <w:jc w:val="center"/>
        <w:rPr>
          <w:rFonts w:asciiTheme="minorEastAsia" w:hAnsiTheme="minorEastAsia" w:eastAsiaTheme="minorEastAsia"/>
          <w:b/>
          <w:bCs/>
          <w:sz w:val="30"/>
          <w:szCs w:val="30"/>
        </w:rPr>
        <w:sectPr>
          <w:footerReference r:id="rId4" w:type="default"/>
          <w:pgSz w:w="11900" w:h="16838"/>
          <w:pgMar w:top="1077" w:right="1134" w:bottom="1077" w:left="1134" w:header="720" w:footer="720" w:gutter="0"/>
          <w:cols w:space="720" w:num="1"/>
          <w:docGrid w:type="lines" w:linePitch="360" w:charSpace="0"/>
        </w:sectPr>
      </w:pPr>
      <w:r>
        <w:rPr>
          <w:rFonts w:asciiTheme="minorEastAsia" w:hAnsiTheme="minorEastAsia" w:eastAsiaTheme="minorEastAsia"/>
          <w:b/>
          <w:bCs/>
          <w:sz w:val="30"/>
          <w:szCs w:val="30"/>
        </w:rPr>
        <w:br w:type="page"/>
      </w:r>
      <w:bookmarkEnd w:id="134"/>
      <w:bookmarkEnd w:id="135"/>
      <w:bookmarkEnd w:id="136"/>
      <w:bookmarkEnd w:id="137"/>
      <w:bookmarkEnd w:id="138"/>
      <w:bookmarkStart w:id="151" w:name="_Toc40390795"/>
      <w:bookmarkStart w:id="152" w:name="_Toc100846872"/>
      <w:bookmarkStart w:id="153" w:name="_Toc816"/>
      <w:bookmarkStart w:id="154" w:name="_Toc3954"/>
    </w:p>
    <w:p>
      <w:pPr>
        <w:pStyle w:val="4"/>
        <w:spacing w:line="360" w:lineRule="auto"/>
        <w:jc w:val="center"/>
        <w:rPr>
          <w:rFonts w:asciiTheme="minorEastAsia" w:hAnsiTheme="minorEastAsia" w:eastAsiaTheme="minorEastAsia"/>
          <w:b w:val="0"/>
          <w:bCs w:val="0"/>
          <w:sz w:val="32"/>
          <w:szCs w:val="32"/>
        </w:rPr>
      </w:pPr>
      <w:r>
        <w:rPr>
          <w:rFonts w:asciiTheme="minorEastAsia" w:hAnsiTheme="minorEastAsia" w:eastAsiaTheme="minorEastAsia"/>
          <w:b w:val="0"/>
          <w:bCs w:val="0"/>
          <w:sz w:val="32"/>
          <w:szCs w:val="32"/>
        </w:rPr>
        <w:t>第四章  合同条款及格式</w:t>
      </w:r>
      <w:bookmarkEnd w:id="151"/>
      <w:bookmarkEnd w:id="152"/>
    </w:p>
    <w:p>
      <w:pPr>
        <w:jc w:val="center"/>
        <w:rPr>
          <w:szCs w:val="24"/>
        </w:rPr>
      </w:pPr>
      <w:r>
        <w:rPr>
          <w:rFonts w:hint="eastAsia"/>
          <w:szCs w:val="24"/>
        </w:rPr>
        <w:t>（仅供参考）</w:t>
      </w:r>
      <w:bookmarkStart w:id="155" w:name="_Toc30360"/>
      <w:bookmarkStart w:id="156" w:name="_Toc20928"/>
      <w:bookmarkStart w:id="157" w:name="_Toc27890"/>
      <w:bookmarkStart w:id="158" w:name="_Toc25210"/>
      <w:bookmarkStart w:id="159" w:name="_Toc24105"/>
      <w:bookmarkStart w:id="160" w:name="_Toc40390796"/>
    </w:p>
    <w:p>
      <w:pPr>
        <w:keepNext/>
        <w:keepLines/>
        <w:spacing w:before="260" w:after="260" w:line="416" w:lineRule="auto"/>
        <w:jc w:val="center"/>
        <w:outlineLvl w:val="1"/>
        <w:rPr>
          <w:rFonts w:ascii="宋体" w:hAnsi="宋体"/>
          <w:bCs/>
          <w:sz w:val="32"/>
          <w:szCs w:val="32"/>
        </w:rPr>
      </w:pPr>
      <w:bookmarkStart w:id="161" w:name="_Toc85370414"/>
      <w:r>
        <w:rPr>
          <w:rFonts w:hint="eastAsia" w:ascii="宋体" w:hAnsi="宋体"/>
          <w:bCs/>
          <w:sz w:val="32"/>
          <w:szCs w:val="32"/>
        </w:rPr>
        <w:t>第一节  通用合同条款</w:t>
      </w:r>
      <w:bookmarkEnd w:id="155"/>
      <w:bookmarkEnd w:id="156"/>
      <w:bookmarkEnd w:id="157"/>
      <w:bookmarkEnd w:id="158"/>
      <w:bookmarkEnd w:id="159"/>
      <w:bookmarkEnd w:id="160"/>
      <w:bookmarkEnd w:id="161"/>
    </w:p>
    <w:p>
      <w:pPr>
        <w:rPr>
          <w:rFonts w:ascii="宋体" w:hAnsi="宋体"/>
          <w:sz w:val="30"/>
          <w:szCs w:val="30"/>
        </w:rPr>
      </w:pPr>
    </w:p>
    <w:p>
      <w:pPr>
        <w:spacing w:line="360" w:lineRule="auto"/>
        <w:ind w:firstLine="420" w:firstLineChars="200"/>
        <w:rPr>
          <w:rFonts w:ascii="宋体" w:hAnsi="宋体"/>
        </w:rPr>
      </w:pPr>
      <w:r>
        <w:rPr>
          <w:rFonts w:hint="eastAsia" w:ascii="宋体" w:hAnsi="宋体"/>
        </w:rPr>
        <w:t>注：参见国家工商行政管理局制定的《建设工程施工合同示范文本</w:t>
      </w:r>
      <w:r>
        <w:rPr>
          <w:rFonts w:hint="eastAsia" w:ascii="宋体" w:hAnsi="宋体"/>
          <w:sz w:val="24"/>
        </w:rPr>
        <w:t>》</w:t>
      </w:r>
      <w:r>
        <w:rPr>
          <w:rFonts w:hint="eastAsia" w:ascii="宋体" w:hAnsi="宋体"/>
        </w:rPr>
        <w:t>(GF---20</w:t>
      </w:r>
      <w:r>
        <w:rPr>
          <w:rFonts w:ascii="宋体" w:hAnsi="宋体"/>
        </w:rPr>
        <w:t>17</w:t>
      </w:r>
      <w:r>
        <w:rPr>
          <w:rFonts w:hint="eastAsia" w:ascii="宋体" w:hAnsi="宋体"/>
        </w:rPr>
        <w:t>---020</w:t>
      </w:r>
      <w:r>
        <w:rPr>
          <w:rFonts w:ascii="宋体" w:hAnsi="宋体"/>
        </w:rPr>
        <w:t>1</w:t>
      </w:r>
      <w:r>
        <w:rPr>
          <w:rFonts w:hint="eastAsia" w:ascii="宋体" w:hAnsi="宋体"/>
        </w:rPr>
        <w:t>)。</w:t>
      </w:r>
    </w:p>
    <w:p>
      <w:pPr>
        <w:jc w:val="center"/>
        <w:rPr>
          <w:szCs w:val="24"/>
        </w:rPr>
      </w:pPr>
    </w:p>
    <w:p>
      <w:pPr>
        <w:widowControl/>
        <w:jc w:val="left"/>
        <w:rPr>
          <w:rFonts w:ascii="宋体" w:hAnsi="宋体"/>
          <w:bCs/>
          <w:sz w:val="32"/>
          <w:szCs w:val="32"/>
        </w:rPr>
      </w:pPr>
      <w:bookmarkStart w:id="162" w:name="_Toc222033877"/>
      <w:bookmarkStart w:id="163" w:name="_Toc229408521"/>
      <w:bookmarkStart w:id="164" w:name="_Toc221951110"/>
      <w:bookmarkStart w:id="165" w:name="_Toc222031028"/>
      <w:bookmarkStart w:id="166" w:name="_Toc221948340"/>
      <w:bookmarkStart w:id="167" w:name="_Toc256000091"/>
      <w:bookmarkStart w:id="168" w:name="_Toc222032695"/>
      <w:bookmarkStart w:id="169" w:name="_Toc222029526"/>
      <w:bookmarkStart w:id="170" w:name="_Toc229305386"/>
      <w:r>
        <w:rPr>
          <w:rFonts w:ascii="宋体" w:hAnsi="宋体"/>
          <w:sz w:val="32"/>
          <w:szCs w:val="32"/>
        </w:rPr>
        <w:br w:type="page"/>
      </w:r>
    </w:p>
    <w:p>
      <w:pPr>
        <w:keepNext/>
        <w:keepLines/>
        <w:spacing w:before="260" w:after="260" w:line="416" w:lineRule="auto"/>
        <w:jc w:val="center"/>
        <w:outlineLvl w:val="1"/>
        <w:rPr>
          <w:rFonts w:ascii="宋体" w:hAnsi="宋体"/>
          <w:bCs/>
          <w:sz w:val="32"/>
          <w:szCs w:val="32"/>
        </w:rPr>
      </w:pPr>
      <w:bookmarkStart w:id="171" w:name="_Toc85370415"/>
      <w:r>
        <w:rPr>
          <w:rFonts w:hint="eastAsia" w:ascii="宋体" w:hAnsi="宋体"/>
          <w:bCs/>
          <w:sz w:val="32"/>
          <w:szCs w:val="32"/>
        </w:rPr>
        <w:t>第二节 专用合同条款</w:t>
      </w:r>
      <w:bookmarkEnd w:id="162"/>
      <w:bookmarkEnd w:id="163"/>
      <w:bookmarkEnd w:id="164"/>
      <w:bookmarkEnd w:id="165"/>
      <w:bookmarkEnd w:id="166"/>
      <w:bookmarkEnd w:id="167"/>
      <w:bookmarkEnd w:id="168"/>
      <w:bookmarkEnd w:id="169"/>
      <w:bookmarkEnd w:id="170"/>
      <w:bookmarkEnd w:id="171"/>
    </w:p>
    <w:p>
      <w:pPr>
        <w:keepNext/>
        <w:keepLines/>
        <w:spacing w:line="400" w:lineRule="exact"/>
        <w:outlineLvl w:val="3"/>
        <w:rPr>
          <w:rFonts w:ascii="宋体" w:hAnsi="宋体" w:cs="宋体"/>
          <w:szCs w:val="21"/>
        </w:rPr>
      </w:pPr>
      <w:bookmarkStart w:id="172" w:name="_Toc4014"/>
      <w:bookmarkStart w:id="173" w:name="_Toc222032696"/>
      <w:bookmarkStart w:id="174" w:name="_Toc229305387"/>
      <w:bookmarkStart w:id="175" w:name="_Toc222031029"/>
      <w:bookmarkStart w:id="176" w:name="_Toc40390798"/>
      <w:bookmarkStart w:id="177" w:name="_Toc9128"/>
      <w:bookmarkStart w:id="178" w:name="_Toc20512"/>
      <w:bookmarkStart w:id="179" w:name="_Toc19064"/>
      <w:bookmarkStart w:id="180" w:name="_Toc222029527"/>
      <w:bookmarkStart w:id="181" w:name="_Toc26065"/>
      <w:bookmarkStart w:id="182" w:name="_Toc221951111"/>
      <w:bookmarkStart w:id="183" w:name="_Toc259524374"/>
      <w:bookmarkStart w:id="184" w:name="_Toc6946"/>
      <w:bookmarkStart w:id="185" w:name="_Toc222033878"/>
      <w:bookmarkStart w:id="186" w:name="_Toc9200"/>
      <w:r>
        <w:rPr>
          <w:rFonts w:hint="eastAsia" w:ascii="宋体" w:hAnsi="宋体" w:cs="宋体"/>
          <w:szCs w:val="21"/>
        </w:rPr>
        <w:t>1  一般约定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spacing w:line="400" w:lineRule="exact"/>
        <w:rPr>
          <w:rFonts w:ascii="宋体" w:hAnsi="宋体" w:cs="宋体"/>
          <w:szCs w:val="21"/>
        </w:rPr>
      </w:pPr>
      <w:bookmarkStart w:id="187" w:name="_Toc28009"/>
      <w:bookmarkStart w:id="188" w:name="_Toc7568"/>
      <w:bookmarkStart w:id="189" w:name="_Toc221951112"/>
      <w:r>
        <w:rPr>
          <w:rFonts w:hint="eastAsia" w:ascii="宋体" w:hAnsi="宋体" w:cs="宋体"/>
          <w:szCs w:val="21"/>
        </w:rPr>
        <w:t>1.1  词语定义</w:t>
      </w:r>
      <w:bookmarkEnd w:id="187"/>
      <w:bookmarkEnd w:id="188"/>
      <w:bookmarkEnd w:id="189"/>
    </w:p>
    <w:p>
      <w:pPr>
        <w:spacing w:line="400" w:lineRule="exact"/>
        <w:rPr>
          <w:rFonts w:ascii="宋体" w:hAnsi="宋体" w:cs="宋体"/>
          <w:szCs w:val="21"/>
        </w:rPr>
      </w:pPr>
      <w:bookmarkStart w:id="190" w:name="_Toc221951113"/>
      <w:r>
        <w:rPr>
          <w:rFonts w:hint="eastAsia" w:ascii="宋体" w:hAnsi="宋体" w:cs="宋体"/>
          <w:szCs w:val="21"/>
        </w:rPr>
        <w:t>1.1.2  合同当事人和人员</w:t>
      </w:r>
      <w:bookmarkEnd w:id="190"/>
    </w:p>
    <w:p>
      <w:pPr>
        <w:spacing w:line="400" w:lineRule="exact"/>
        <w:rPr>
          <w:rFonts w:ascii="宋体" w:hAnsi="宋体" w:cs="宋体"/>
          <w:szCs w:val="21"/>
        </w:rPr>
      </w:pPr>
      <w:bookmarkStart w:id="191" w:name="_Toc221951114"/>
      <w:r>
        <w:rPr>
          <w:rFonts w:hint="eastAsia" w:ascii="宋体" w:hAnsi="宋体" w:cs="宋体"/>
          <w:szCs w:val="21"/>
        </w:rPr>
        <w:t>1.1.2.2  发包人：</w:t>
      </w:r>
      <w:r>
        <w:rPr>
          <w:rFonts w:hint="eastAsia" w:ascii="宋体" w:hAnsi="宋体" w:cs="宋体"/>
          <w:szCs w:val="21"/>
          <w:u w:val="single"/>
        </w:rPr>
        <w:t xml:space="preserve">             (填入发包人的名称)       </w:t>
      </w:r>
      <w:r>
        <w:rPr>
          <w:rFonts w:hint="eastAsia" w:ascii="宋体" w:hAnsi="宋体" w:cs="宋体"/>
          <w:szCs w:val="21"/>
        </w:rPr>
        <w:t>。</w:t>
      </w:r>
      <w:bookmarkEnd w:id="191"/>
    </w:p>
    <w:p>
      <w:pPr>
        <w:spacing w:line="400" w:lineRule="exact"/>
        <w:rPr>
          <w:rFonts w:ascii="宋体" w:hAnsi="宋体" w:cs="宋体"/>
          <w:szCs w:val="21"/>
        </w:rPr>
      </w:pPr>
      <w:bookmarkStart w:id="192" w:name="_Toc221951115"/>
      <w:r>
        <w:rPr>
          <w:rFonts w:hint="eastAsia" w:ascii="宋体" w:hAnsi="宋体" w:cs="宋体"/>
          <w:szCs w:val="21"/>
        </w:rPr>
        <w:t>1.1.2.3  承包人：</w:t>
      </w:r>
      <w:r>
        <w:rPr>
          <w:rFonts w:hint="eastAsia" w:ascii="宋体" w:hAnsi="宋体" w:cs="宋体"/>
          <w:szCs w:val="21"/>
          <w:u w:val="single"/>
        </w:rPr>
        <w:t xml:space="preserve">                 (签约后填入承包人的名称)    </w:t>
      </w:r>
      <w:r>
        <w:rPr>
          <w:rFonts w:hint="eastAsia" w:ascii="宋体" w:hAnsi="宋体" w:cs="宋体"/>
          <w:szCs w:val="21"/>
        </w:rPr>
        <w:t>。</w:t>
      </w:r>
      <w:bookmarkEnd w:id="192"/>
    </w:p>
    <w:p>
      <w:pPr>
        <w:spacing w:line="400" w:lineRule="exact"/>
        <w:rPr>
          <w:rFonts w:ascii="宋体" w:hAnsi="宋体" w:cs="宋体"/>
          <w:szCs w:val="21"/>
        </w:rPr>
      </w:pPr>
      <w:bookmarkStart w:id="193" w:name="_Toc221951116"/>
      <w:r>
        <w:rPr>
          <w:rFonts w:hint="eastAsia" w:ascii="宋体" w:hAnsi="宋体" w:cs="宋体"/>
          <w:szCs w:val="21"/>
        </w:rPr>
        <w:t>1.1.2.5  分包人：</w:t>
      </w:r>
      <w:r>
        <w:rPr>
          <w:rFonts w:hint="eastAsia" w:ascii="宋体" w:hAnsi="宋体" w:cs="宋体"/>
          <w:szCs w:val="21"/>
          <w:u w:val="single"/>
        </w:rPr>
        <w:t xml:space="preserve">                 (签约后填入分包人的名称)    </w:t>
      </w:r>
      <w:r>
        <w:rPr>
          <w:rFonts w:hint="eastAsia" w:ascii="宋体" w:hAnsi="宋体" w:cs="宋体"/>
          <w:szCs w:val="21"/>
        </w:rPr>
        <w:t>。</w:t>
      </w:r>
      <w:bookmarkEnd w:id="193"/>
    </w:p>
    <w:p>
      <w:pPr>
        <w:spacing w:line="400" w:lineRule="exact"/>
        <w:rPr>
          <w:rFonts w:ascii="宋体" w:hAnsi="宋体" w:cs="宋体"/>
          <w:szCs w:val="21"/>
        </w:rPr>
      </w:pPr>
      <w:bookmarkStart w:id="194" w:name="_Toc221951117"/>
      <w:r>
        <w:rPr>
          <w:rFonts w:hint="eastAsia" w:ascii="宋体" w:hAnsi="宋体" w:cs="宋体"/>
          <w:szCs w:val="21"/>
        </w:rPr>
        <w:t>1.1.2.6  监理人：</w:t>
      </w:r>
      <w:r>
        <w:rPr>
          <w:rFonts w:hint="eastAsia" w:ascii="宋体" w:hAnsi="宋体" w:cs="宋体"/>
          <w:szCs w:val="21"/>
          <w:u w:val="single"/>
        </w:rPr>
        <w:t xml:space="preserve">                     (填入监理人名称)       </w:t>
      </w:r>
      <w:r>
        <w:rPr>
          <w:rFonts w:hint="eastAsia" w:ascii="宋体" w:hAnsi="宋体" w:cs="宋体"/>
          <w:szCs w:val="21"/>
        </w:rPr>
        <w:t xml:space="preserve"> 。</w:t>
      </w:r>
      <w:bookmarkEnd w:id="194"/>
    </w:p>
    <w:p>
      <w:pPr>
        <w:spacing w:line="400" w:lineRule="exact"/>
        <w:rPr>
          <w:rFonts w:ascii="宋体" w:hAnsi="宋体" w:cs="宋体"/>
          <w:szCs w:val="21"/>
        </w:rPr>
      </w:pPr>
      <w:bookmarkStart w:id="195" w:name="_Toc221951125"/>
      <w:r>
        <w:rPr>
          <w:rFonts w:hint="eastAsia" w:ascii="宋体" w:hAnsi="宋体" w:cs="宋体"/>
          <w:szCs w:val="21"/>
        </w:rPr>
        <w:t>1.1.4  日期</w:t>
      </w:r>
      <w:bookmarkEnd w:id="195"/>
    </w:p>
    <w:p>
      <w:pPr>
        <w:spacing w:line="400" w:lineRule="exact"/>
        <w:rPr>
          <w:rFonts w:ascii="宋体" w:hAnsi="宋体" w:cs="宋体"/>
          <w:szCs w:val="21"/>
        </w:rPr>
      </w:pPr>
      <w:bookmarkStart w:id="196" w:name="_Toc221951126"/>
      <w:r>
        <w:rPr>
          <w:rFonts w:hint="eastAsia" w:ascii="宋体" w:hAnsi="宋体" w:cs="宋体"/>
          <w:szCs w:val="21"/>
        </w:rPr>
        <w:t>1.1.4.5  缺陷责任期：</w:t>
      </w:r>
      <w:r>
        <w:rPr>
          <w:rFonts w:hint="eastAsia" w:ascii="宋体" w:hAnsi="宋体" w:cs="宋体"/>
          <w:szCs w:val="21"/>
          <w:u w:val="single"/>
        </w:rPr>
        <w:t xml:space="preserve">    （填写本合同工程的缺陷责任期限）    </w:t>
      </w:r>
      <w:r>
        <w:rPr>
          <w:rFonts w:hint="eastAsia" w:ascii="宋体" w:hAnsi="宋体" w:cs="宋体"/>
          <w:szCs w:val="21"/>
        </w:rPr>
        <w:t>。</w:t>
      </w:r>
      <w:bookmarkEnd w:id="196"/>
    </w:p>
    <w:p>
      <w:pPr>
        <w:spacing w:line="400" w:lineRule="exact"/>
        <w:rPr>
          <w:rFonts w:ascii="宋体" w:hAnsi="宋体" w:cs="宋体"/>
          <w:szCs w:val="21"/>
        </w:rPr>
      </w:pPr>
      <w:bookmarkStart w:id="197" w:name="_Toc10697"/>
      <w:bookmarkStart w:id="198" w:name="_Toc26786"/>
      <w:bookmarkStart w:id="199" w:name="_Toc221951127"/>
      <w:r>
        <w:rPr>
          <w:rFonts w:hint="eastAsia" w:ascii="宋体" w:hAnsi="宋体" w:cs="宋体"/>
          <w:szCs w:val="21"/>
        </w:rPr>
        <w:t>1.4  合同文件的优先顺序</w:t>
      </w:r>
      <w:bookmarkEnd w:id="197"/>
      <w:bookmarkEnd w:id="198"/>
      <w:bookmarkEnd w:id="199"/>
      <w:bookmarkStart w:id="200" w:name="_Toc221951129"/>
    </w:p>
    <w:p>
      <w:pPr>
        <w:spacing w:line="400" w:lineRule="exact"/>
        <w:rPr>
          <w:rFonts w:ascii="宋体" w:hAnsi="宋体" w:cs="宋体"/>
          <w:szCs w:val="21"/>
        </w:rPr>
      </w:pPr>
      <w:r>
        <w:rPr>
          <w:rFonts w:hint="eastAsia" w:ascii="宋体" w:hAnsi="宋体" w:cs="宋体"/>
          <w:szCs w:val="21"/>
        </w:rPr>
        <w:t>进人合同文件的各项文件及其优先顺序是                         。</w:t>
      </w:r>
    </w:p>
    <w:p>
      <w:pPr>
        <w:spacing w:line="400" w:lineRule="exact"/>
        <w:rPr>
          <w:rFonts w:ascii="宋体" w:hAnsi="宋体" w:cs="宋体"/>
          <w:szCs w:val="21"/>
        </w:rPr>
      </w:pPr>
      <w:bookmarkStart w:id="201" w:name="_Toc32075"/>
      <w:bookmarkStart w:id="202" w:name="_Toc32199"/>
      <w:r>
        <w:rPr>
          <w:rFonts w:hint="eastAsia" w:ascii="宋体" w:hAnsi="宋体" w:cs="宋体"/>
          <w:szCs w:val="21"/>
        </w:rPr>
        <w:t>1.7  联络</w:t>
      </w:r>
      <w:bookmarkEnd w:id="200"/>
      <w:bookmarkEnd w:id="201"/>
      <w:bookmarkEnd w:id="202"/>
    </w:p>
    <w:p>
      <w:pPr>
        <w:spacing w:line="400" w:lineRule="exact"/>
        <w:rPr>
          <w:rFonts w:ascii="宋体" w:hAnsi="宋体" w:cs="宋体"/>
          <w:szCs w:val="21"/>
        </w:rPr>
      </w:pPr>
      <w:bookmarkStart w:id="203" w:name="_Toc221951130"/>
      <w:r>
        <w:rPr>
          <w:rFonts w:hint="eastAsia" w:ascii="宋体" w:hAnsi="宋体" w:cs="宋体"/>
          <w:szCs w:val="21"/>
        </w:rPr>
        <w:t>1.7.2来往函件均应按技术标准和要求（合同技术条款）约定的期限送达</w:t>
      </w:r>
      <w:r>
        <w:rPr>
          <w:rFonts w:hint="eastAsia" w:ascii="宋体" w:hAnsi="宋体" w:cs="宋体"/>
          <w:szCs w:val="21"/>
          <w:u w:val="single"/>
        </w:rPr>
        <w:t xml:space="preserve">  (填写文件送达地点)  </w:t>
      </w:r>
      <w:r>
        <w:rPr>
          <w:rFonts w:hint="eastAsia" w:ascii="宋体" w:hAnsi="宋体" w:cs="宋体"/>
          <w:szCs w:val="21"/>
        </w:rPr>
        <w:t>。</w:t>
      </w:r>
      <w:bookmarkEnd w:id="203"/>
    </w:p>
    <w:p>
      <w:pPr>
        <w:keepNext/>
        <w:keepLines/>
        <w:spacing w:line="400" w:lineRule="exact"/>
        <w:outlineLvl w:val="3"/>
        <w:rPr>
          <w:rFonts w:ascii="宋体" w:hAnsi="宋体" w:cs="宋体"/>
          <w:szCs w:val="21"/>
        </w:rPr>
      </w:pPr>
      <w:bookmarkStart w:id="204" w:name="_Toc222031030"/>
      <w:bookmarkStart w:id="205" w:name="_Toc222033879"/>
      <w:bookmarkStart w:id="206" w:name="_Toc40390799"/>
      <w:bookmarkStart w:id="207" w:name="_Toc229305388"/>
      <w:bookmarkStart w:id="208" w:name="_Toc8928"/>
      <w:bookmarkStart w:id="209" w:name="_Toc19536"/>
      <w:bookmarkStart w:id="210" w:name="_Toc21241"/>
      <w:bookmarkStart w:id="211" w:name="_Toc222029528"/>
      <w:bookmarkStart w:id="212" w:name="_Toc13360"/>
      <w:bookmarkStart w:id="213" w:name="_Toc222032697"/>
      <w:bookmarkStart w:id="214" w:name="_Toc221951131"/>
      <w:bookmarkStart w:id="215" w:name="_Toc21558"/>
      <w:bookmarkStart w:id="216" w:name="_Toc8224"/>
      <w:bookmarkStart w:id="217" w:name="_Toc259524375"/>
      <w:bookmarkStart w:id="218" w:name="_Toc23971"/>
      <w:r>
        <w:rPr>
          <w:rFonts w:hint="eastAsia" w:ascii="宋体" w:hAnsi="宋体" w:cs="宋体"/>
          <w:szCs w:val="21"/>
        </w:rPr>
        <w:t>2  发包人义务</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rPr>
          <w:rFonts w:ascii="宋体" w:hAnsi="宋体" w:cs="宋体"/>
          <w:szCs w:val="21"/>
        </w:rPr>
      </w:pPr>
      <w:bookmarkStart w:id="219" w:name="_Toc221951132"/>
      <w:bookmarkStart w:id="220" w:name="_Toc6228"/>
      <w:bookmarkStart w:id="221" w:name="_Toc28272"/>
      <w:r>
        <w:rPr>
          <w:rFonts w:hint="eastAsia" w:ascii="宋体" w:hAnsi="宋体" w:cs="宋体"/>
          <w:szCs w:val="21"/>
        </w:rPr>
        <w:t>2.3  提供施工场地</w:t>
      </w:r>
      <w:bookmarkEnd w:id="219"/>
      <w:bookmarkEnd w:id="220"/>
      <w:bookmarkEnd w:id="221"/>
    </w:p>
    <w:p>
      <w:pPr>
        <w:spacing w:line="400" w:lineRule="exact"/>
        <w:ind w:right="248" w:firstLine="480"/>
        <w:rPr>
          <w:rFonts w:ascii="宋体" w:hAnsi="宋体" w:cs="宋体"/>
          <w:szCs w:val="21"/>
        </w:rPr>
      </w:pPr>
      <w:bookmarkStart w:id="222" w:name="_Toc221951133"/>
      <w:r>
        <w:rPr>
          <w:rFonts w:hint="eastAsia" w:ascii="宋体" w:hAnsi="宋体" w:cs="宋体"/>
          <w:szCs w:val="21"/>
        </w:rPr>
        <w:t>2.3.2</w:t>
      </w:r>
      <w:bookmarkEnd w:id="222"/>
      <w:r>
        <w:rPr>
          <w:rFonts w:hint="eastAsia" w:ascii="宋体" w:hAnsi="宋体" w:cs="宋体"/>
          <w:szCs w:val="21"/>
        </w:rPr>
        <w:t>发包人提供的施工场地范围为：。</w:t>
      </w:r>
    </w:p>
    <w:p>
      <w:pPr>
        <w:spacing w:line="400" w:lineRule="exact"/>
        <w:ind w:right="248" w:firstLine="480"/>
        <w:rPr>
          <w:rFonts w:ascii="宋体" w:hAnsi="宋体" w:cs="宋体"/>
          <w:szCs w:val="21"/>
        </w:rPr>
      </w:pPr>
      <w:r>
        <w:rPr>
          <w:rFonts w:hint="eastAsia" w:ascii="宋体" w:hAnsi="宋体" w:cs="宋体"/>
          <w:szCs w:val="21"/>
        </w:rPr>
        <w:t>2.2.3承包人自行勘察的施工场地范围为：。</w:t>
      </w:r>
    </w:p>
    <w:p>
      <w:pPr>
        <w:spacing w:line="400" w:lineRule="exact"/>
        <w:rPr>
          <w:rFonts w:ascii="宋体" w:hAnsi="宋体" w:cs="宋体"/>
          <w:szCs w:val="21"/>
        </w:rPr>
      </w:pPr>
      <w:bookmarkStart w:id="223" w:name="_Toc23"/>
      <w:bookmarkStart w:id="224" w:name="_Toc2046"/>
      <w:bookmarkStart w:id="225" w:name="_Toc221951134"/>
      <w:r>
        <w:rPr>
          <w:rFonts w:hint="eastAsia" w:ascii="宋体" w:hAnsi="宋体" w:cs="宋体"/>
          <w:szCs w:val="21"/>
        </w:rPr>
        <w:t>2.8  其它义务</w:t>
      </w:r>
      <w:bookmarkEnd w:id="223"/>
      <w:bookmarkEnd w:id="224"/>
      <w:bookmarkEnd w:id="225"/>
    </w:p>
    <w:p>
      <w:pPr>
        <w:spacing w:before="100" w:beforeAutospacing="1" w:after="120" w:line="400" w:lineRule="exact"/>
        <w:ind w:left="420" w:leftChars="200" w:right="248"/>
        <w:rPr>
          <w:rFonts w:ascii="宋体" w:hAnsi="宋体" w:cs="宋体"/>
          <w:color w:val="000000"/>
          <w:szCs w:val="21"/>
        </w:rPr>
      </w:pPr>
      <w:bookmarkStart w:id="226" w:name="_Toc221951135"/>
      <w:r>
        <w:rPr>
          <w:rFonts w:hint="eastAsia" w:ascii="宋体" w:hAnsi="宋体" w:cs="宋体"/>
          <w:color w:val="000000"/>
          <w:szCs w:val="21"/>
        </w:rPr>
        <w:t xml:space="preserve"> (根据发包人的合同管理要求补充)</w:t>
      </w:r>
      <w:bookmarkEnd w:id="226"/>
    </w:p>
    <w:p>
      <w:pPr>
        <w:spacing w:line="400" w:lineRule="exact"/>
        <w:ind w:right="248" w:firstLine="480"/>
        <w:rPr>
          <w:rFonts w:ascii="宋体" w:hAnsi="宋体" w:cs="宋体"/>
          <w:color w:val="000000"/>
          <w:szCs w:val="21"/>
        </w:rPr>
      </w:pPr>
      <w:bookmarkStart w:id="227" w:name="_Toc221951136"/>
      <w:r>
        <w:rPr>
          <w:rFonts w:hint="eastAsia" w:ascii="宋体" w:hAnsi="宋体" w:cs="宋体"/>
          <w:color w:val="000000"/>
          <w:szCs w:val="21"/>
        </w:rPr>
        <w:t>(1) ……</w:t>
      </w:r>
      <w:bookmarkEnd w:id="227"/>
    </w:p>
    <w:p>
      <w:pPr>
        <w:spacing w:line="400" w:lineRule="exact"/>
        <w:ind w:right="248" w:firstLine="480"/>
        <w:rPr>
          <w:rFonts w:ascii="宋体" w:hAnsi="宋体" w:cs="宋体"/>
          <w:color w:val="000000"/>
          <w:szCs w:val="21"/>
        </w:rPr>
      </w:pPr>
      <w:bookmarkStart w:id="228" w:name="_Toc221951137"/>
      <w:r>
        <w:rPr>
          <w:rFonts w:hint="eastAsia" w:ascii="宋体" w:hAnsi="宋体" w:cs="宋体"/>
          <w:color w:val="000000"/>
          <w:szCs w:val="21"/>
        </w:rPr>
        <w:t>(2) ……</w:t>
      </w:r>
      <w:bookmarkEnd w:id="228"/>
    </w:p>
    <w:p>
      <w:pPr>
        <w:keepNext/>
        <w:keepLines/>
        <w:spacing w:line="400" w:lineRule="exact"/>
        <w:outlineLvl w:val="3"/>
        <w:rPr>
          <w:rFonts w:ascii="宋体" w:hAnsi="宋体" w:cs="宋体"/>
          <w:szCs w:val="21"/>
        </w:rPr>
      </w:pPr>
      <w:bookmarkStart w:id="229" w:name="_Toc40390800"/>
      <w:bookmarkStart w:id="230" w:name="_Toc8475"/>
      <w:bookmarkStart w:id="231" w:name="_Toc29638"/>
      <w:bookmarkStart w:id="232" w:name="_Toc221951140"/>
      <w:bookmarkStart w:id="233" w:name="_Toc12858"/>
      <w:bookmarkStart w:id="234" w:name="_Toc1524"/>
      <w:bookmarkStart w:id="235" w:name="_Toc222029529"/>
      <w:bookmarkStart w:id="236" w:name="_Toc229305389"/>
      <w:bookmarkStart w:id="237" w:name="_Toc222032698"/>
      <w:bookmarkStart w:id="238" w:name="_Toc21872"/>
      <w:bookmarkStart w:id="239" w:name="_Toc16235"/>
      <w:bookmarkStart w:id="240" w:name="_Toc268"/>
      <w:bookmarkStart w:id="241" w:name="_Toc222033880"/>
      <w:bookmarkStart w:id="242" w:name="_Toc259524376"/>
      <w:bookmarkStart w:id="243" w:name="_Toc222031031"/>
      <w:r>
        <w:rPr>
          <w:rFonts w:hint="eastAsia" w:ascii="宋体" w:hAnsi="宋体" w:cs="宋体"/>
          <w:szCs w:val="21"/>
        </w:rPr>
        <w:t>3  监理人</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spacing w:line="400" w:lineRule="exact"/>
        <w:rPr>
          <w:rFonts w:ascii="宋体" w:hAnsi="宋体" w:cs="宋体"/>
          <w:szCs w:val="21"/>
        </w:rPr>
      </w:pPr>
      <w:bookmarkStart w:id="244" w:name="_Toc840"/>
      <w:bookmarkStart w:id="245" w:name="_Toc221951141"/>
      <w:bookmarkStart w:id="246" w:name="_Toc7303"/>
      <w:r>
        <w:rPr>
          <w:rFonts w:hint="eastAsia" w:ascii="宋体" w:hAnsi="宋体" w:cs="宋体"/>
          <w:szCs w:val="21"/>
        </w:rPr>
        <w:t>3.1  监理人的职责和权力</w:t>
      </w:r>
      <w:bookmarkEnd w:id="244"/>
      <w:bookmarkEnd w:id="245"/>
      <w:bookmarkEnd w:id="246"/>
    </w:p>
    <w:p>
      <w:pPr>
        <w:spacing w:line="400" w:lineRule="exact"/>
        <w:ind w:right="248" w:firstLine="480"/>
        <w:rPr>
          <w:rFonts w:ascii="宋体" w:hAnsi="宋体" w:cs="宋体"/>
          <w:color w:val="000000"/>
          <w:szCs w:val="21"/>
        </w:rPr>
      </w:pPr>
      <w:bookmarkStart w:id="247" w:name="_Toc221951142"/>
      <w:r>
        <w:rPr>
          <w:rFonts w:hint="eastAsia" w:ascii="宋体" w:hAnsi="宋体" w:cs="宋体"/>
          <w:szCs w:val="21"/>
        </w:rPr>
        <w:t>3.1.1</w:t>
      </w:r>
      <w:bookmarkEnd w:id="247"/>
      <w:r>
        <w:rPr>
          <w:rFonts w:hint="eastAsia" w:ascii="宋体" w:hAnsi="宋体" w:cs="宋体"/>
          <w:szCs w:val="21"/>
        </w:rPr>
        <w:t>监理人须根据发包人事先批准的权力范围行使权力，发包人批准的权力范围：（填写监理人须经发包人批准才能行使的权力，以下示例供参考）</w:t>
      </w:r>
    </w:p>
    <w:p>
      <w:pPr>
        <w:spacing w:line="400" w:lineRule="exact"/>
        <w:ind w:right="248" w:firstLine="480"/>
        <w:rPr>
          <w:rFonts w:ascii="宋体" w:hAnsi="宋体" w:cs="宋体"/>
          <w:color w:val="000000"/>
          <w:szCs w:val="21"/>
        </w:rPr>
      </w:pPr>
      <w:bookmarkStart w:id="248" w:name="_Toc229305390"/>
      <w:bookmarkStart w:id="249" w:name="_Toc221951150"/>
      <w:bookmarkStart w:id="250" w:name="_Toc222031032"/>
      <w:bookmarkStart w:id="251" w:name="_Toc222032699"/>
      <w:bookmarkStart w:id="252" w:name="_Toc222033881"/>
      <w:bookmarkStart w:id="253" w:name="_Toc222029530"/>
      <w:r>
        <w:rPr>
          <w:rFonts w:hint="eastAsia" w:ascii="宋体" w:hAnsi="宋体" w:cs="宋体"/>
          <w:color w:val="000000"/>
          <w:szCs w:val="21"/>
        </w:rPr>
        <w:t>(l）按第4.3款约定，批准工程的分包；</w:t>
      </w:r>
    </w:p>
    <w:p>
      <w:pPr>
        <w:spacing w:line="400" w:lineRule="exact"/>
        <w:ind w:right="248" w:firstLine="480"/>
        <w:rPr>
          <w:rFonts w:ascii="宋体" w:hAnsi="宋体" w:cs="宋体"/>
          <w:color w:val="000000"/>
          <w:szCs w:val="21"/>
        </w:rPr>
      </w:pPr>
      <w:r>
        <w:rPr>
          <w:rFonts w:hint="eastAsia" w:ascii="宋体" w:hAnsi="宋体" w:cs="宋体"/>
          <w:color w:val="000000"/>
          <w:szCs w:val="21"/>
        </w:rPr>
        <w:t>(2）按第11.3款约定，确定延长完工期限；</w:t>
      </w:r>
    </w:p>
    <w:p>
      <w:pPr>
        <w:spacing w:line="400" w:lineRule="exact"/>
        <w:ind w:right="248" w:firstLine="480"/>
        <w:rPr>
          <w:rFonts w:ascii="宋体" w:hAnsi="宋体" w:cs="宋体"/>
          <w:color w:val="000000"/>
          <w:szCs w:val="21"/>
        </w:rPr>
      </w:pPr>
      <w:r>
        <w:rPr>
          <w:rFonts w:hint="eastAsia" w:ascii="宋体" w:hAnsi="宋体" w:cs="宋体"/>
          <w:color w:val="000000"/>
          <w:szCs w:val="21"/>
        </w:rPr>
        <w:t>(3）按第15.6款约定，批准暂列金额的使用；</w:t>
      </w:r>
    </w:p>
    <w:p>
      <w:pPr>
        <w:spacing w:line="400" w:lineRule="exact"/>
        <w:ind w:right="248" w:firstLine="480"/>
        <w:rPr>
          <w:rFonts w:ascii="宋体" w:hAnsi="宋体" w:cs="宋体"/>
          <w:color w:val="000000"/>
          <w:szCs w:val="21"/>
        </w:rPr>
      </w:pPr>
      <w:r>
        <w:rPr>
          <w:rFonts w:hint="eastAsia" w:ascii="宋体" w:hAnsi="宋体" w:cs="宋体"/>
          <w:color w:val="000000"/>
          <w:szCs w:val="21"/>
        </w:rPr>
        <w:t xml:space="preserve">(4）… … </w:t>
      </w:r>
    </w:p>
    <w:p>
      <w:pPr>
        <w:keepNext/>
        <w:keepLines/>
        <w:spacing w:line="400" w:lineRule="exact"/>
        <w:outlineLvl w:val="3"/>
        <w:rPr>
          <w:rFonts w:ascii="宋体" w:hAnsi="宋体" w:cs="宋体"/>
          <w:szCs w:val="21"/>
        </w:rPr>
      </w:pPr>
      <w:bookmarkStart w:id="254" w:name="_Toc22040"/>
      <w:bookmarkStart w:id="255" w:name="_Toc40390801"/>
      <w:bookmarkStart w:id="256" w:name="_Toc22888"/>
      <w:bookmarkStart w:id="257" w:name="_Toc22410"/>
      <w:bookmarkStart w:id="258" w:name="_Toc24545"/>
      <w:bookmarkStart w:id="259" w:name="_Toc10369"/>
      <w:bookmarkStart w:id="260" w:name="_Toc2093"/>
      <w:bookmarkStart w:id="261" w:name="_Toc259524377"/>
      <w:bookmarkStart w:id="262" w:name="_Toc14671"/>
      <w:r>
        <w:rPr>
          <w:rFonts w:hint="eastAsia" w:ascii="宋体" w:hAnsi="宋体" w:cs="宋体"/>
          <w:szCs w:val="21"/>
        </w:rPr>
        <w:t>4  承包人</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spacing w:line="400" w:lineRule="exact"/>
        <w:rPr>
          <w:rFonts w:ascii="宋体" w:hAnsi="宋体" w:cs="宋体"/>
          <w:szCs w:val="21"/>
        </w:rPr>
      </w:pPr>
      <w:bookmarkStart w:id="263" w:name="_Toc22177"/>
      <w:bookmarkStart w:id="264" w:name="_Toc221951151"/>
      <w:bookmarkStart w:id="265" w:name="_Toc6505"/>
      <w:r>
        <w:rPr>
          <w:rFonts w:hint="eastAsia" w:ascii="宋体" w:hAnsi="宋体" w:cs="宋体"/>
          <w:szCs w:val="21"/>
        </w:rPr>
        <w:t>4.1  承包人的一般义务</w:t>
      </w:r>
      <w:bookmarkEnd w:id="263"/>
      <w:bookmarkEnd w:id="264"/>
      <w:bookmarkEnd w:id="265"/>
    </w:p>
    <w:p>
      <w:pPr>
        <w:spacing w:line="400" w:lineRule="exact"/>
        <w:ind w:right="248" w:firstLine="480"/>
        <w:rPr>
          <w:rFonts w:ascii="宋体" w:hAnsi="宋体" w:cs="宋体"/>
          <w:color w:val="000000"/>
          <w:szCs w:val="21"/>
        </w:rPr>
      </w:pPr>
      <w:bookmarkStart w:id="266" w:name="_Toc221951152"/>
      <w:r>
        <w:rPr>
          <w:rFonts w:hint="eastAsia" w:ascii="宋体" w:hAnsi="宋体" w:cs="宋体"/>
          <w:color w:val="000000"/>
          <w:szCs w:val="21"/>
        </w:rPr>
        <w:t>4.1.10  其他义务</w:t>
      </w:r>
      <w:bookmarkEnd w:id="266"/>
    </w:p>
    <w:p>
      <w:pPr>
        <w:spacing w:line="400" w:lineRule="exact"/>
        <w:ind w:right="248" w:firstLine="480"/>
        <w:rPr>
          <w:rFonts w:ascii="宋体" w:hAnsi="宋体" w:cs="宋体"/>
          <w:color w:val="000000"/>
          <w:szCs w:val="21"/>
        </w:rPr>
      </w:pPr>
      <w:r>
        <w:rPr>
          <w:rFonts w:hint="eastAsia" w:ascii="宋体" w:hAnsi="宋体" w:cs="宋体"/>
          <w:color w:val="000000"/>
          <w:szCs w:val="21"/>
        </w:rPr>
        <w:t>　（1）… …</w:t>
      </w:r>
    </w:p>
    <w:p>
      <w:pPr>
        <w:spacing w:line="400" w:lineRule="exact"/>
        <w:ind w:right="248" w:firstLine="480"/>
        <w:rPr>
          <w:rFonts w:ascii="宋体" w:hAnsi="宋体" w:cs="宋体"/>
          <w:color w:val="000000"/>
          <w:szCs w:val="21"/>
        </w:rPr>
      </w:pPr>
      <w:r>
        <w:rPr>
          <w:rFonts w:hint="eastAsia" w:ascii="宋体" w:hAnsi="宋体" w:cs="宋体"/>
          <w:color w:val="000000"/>
          <w:szCs w:val="21"/>
        </w:rPr>
        <w:t>　（2）… …</w:t>
      </w:r>
    </w:p>
    <w:p>
      <w:pPr>
        <w:spacing w:line="400" w:lineRule="exact"/>
        <w:rPr>
          <w:rFonts w:ascii="宋体" w:hAnsi="宋体" w:cs="宋体"/>
          <w:szCs w:val="21"/>
        </w:rPr>
      </w:pPr>
      <w:bookmarkStart w:id="267" w:name="_Toc11656"/>
      <w:bookmarkStart w:id="268" w:name="_Toc221951153"/>
      <w:bookmarkStart w:id="269" w:name="_Toc25240"/>
      <w:r>
        <w:rPr>
          <w:rFonts w:hint="eastAsia" w:ascii="宋体" w:hAnsi="宋体" w:cs="宋体"/>
          <w:szCs w:val="21"/>
        </w:rPr>
        <w:t>4.3  分包</w:t>
      </w:r>
      <w:bookmarkEnd w:id="267"/>
      <w:bookmarkEnd w:id="268"/>
      <w:bookmarkEnd w:id="269"/>
    </w:p>
    <w:p>
      <w:pPr>
        <w:spacing w:line="400" w:lineRule="exact"/>
        <w:ind w:right="248" w:firstLine="315" w:firstLineChars="150"/>
        <w:rPr>
          <w:rFonts w:ascii="宋体" w:hAnsi="宋体" w:cs="宋体"/>
          <w:color w:val="000000"/>
          <w:szCs w:val="21"/>
        </w:rPr>
      </w:pPr>
      <w:bookmarkStart w:id="270" w:name="_Toc221951154"/>
      <w:r>
        <w:rPr>
          <w:rFonts w:hint="eastAsia" w:ascii="宋体" w:hAnsi="宋体" w:cs="宋体"/>
          <w:color w:val="000000"/>
          <w:szCs w:val="21"/>
        </w:rPr>
        <w:t>4.3.2  允许承包人分包的工程项目、工作内容与</w:t>
      </w:r>
      <w:r>
        <w:rPr>
          <w:rFonts w:hint="eastAsia" w:ascii="宋体" w:hAnsi="宋体" w:cs="宋体"/>
          <w:color w:val="000000"/>
          <w:szCs w:val="21"/>
          <w:lang w:val="zh-CN"/>
        </w:rPr>
        <w:t>分包金额</w:t>
      </w:r>
      <w:r>
        <w:rPr>
          <w:rFonts w:hint="eastAsia" w:ascii="宋体" w:hAnsi="宋体" w:cs="宋体"/>
          <w:color w:val="000000"/>
          <w:szCs w:val="21"/>
        </w:rPr>
        <w:t>限额为：</w:t>
      </w:r>
      <w:bookmarkEnd w:id="270"/>
    </w:p>
    <w:p>
      <w:pPr>
        <w:spacing w:before="100" w:beforeAutospacing="1" w:after="120" w:line="400" w:lineRule="exact"/>
        <w:ind w:right="248"/>
        <w:rPr>
          <w:rFonts w:ascii="宋体" w:hAnsi="宋体" w:cs="宋体"/>
          <w:color w:val="000000"/>
          <w:szCs w:val="21"/>
        </w:rPr>
      </w:pPr>
      <w:bookmarkStart w:id="271" w:name="_Toc221951155"/>
      <w:r>
        <w:rPr>
          <w:rFonts w:hint="eastAsia" w:ascii="宋体" w:hAnsi="宋体" w:cs="宋体"/>
          <w:color w:val="000000"/>
          <w:szCs w:val="21"/>
        </w:rPr>
        <w:t>（1）工程项目：。</w:t>
      </w:r>
      <w:bookmarkEnd w:id="271"/>
    </w:p>
    <w:p>
      <w:pPr>
        <w:spacing w:before="100" w:beforeAutospacing="1" w:after="120" w:line="400" w:lineRule="exact"/>
        <w:ind w:right="248" w:firstLine="105" w:firstLineChars="50"/>
        <w:rPr>
          <w:rFonts w:ascii="宋体" w:hAnsi="宋体" w:cs="宋体"/>
          <w:color w:val="000000"/>
          <w:szCs w:val="21"/>
        </w:rPr>
      </w:pPr>
      <w:bookmarkStart w:id="272" w:name="_Toc221951156"/>
      <w:r>
        <w:rPr>
          <w:rFonts w:hint="eastAsia" w:ascii="宋体" w:hAnsi="宋体" w:cs="宋体"/>
          <w:color w:val="000000"/>
          <w:szCs w:val="21"/>
        </w:rPr>
        <w:t>（2）工作内容：。</w:t>
      </w:r>
      <w:bookmarkEnd w:id="272"/>
    </w:p>
    <w:p>
      <w:pPr>
        <w:spacing w:before="100" w:beforeAutospacing="1" w:after="120" w:line="400" w:lineRule="exact"/>
        <w:ind w:right="248" w:firstLine="210" w:firstLineChars="100"/>
        <w:rPr>
          <w:rFonts w:ascii="宋体" w:hAnsi="宋体" w:cs="宋体"/>
          <w:szCs w:val="21"/>
        </w:rPr>
      </w:pPr>
      <w:bookmarkStart w:id="273" w:name="_Toc221951157"/>
      <w:r>
        <w:rPr>
          <w:rFonts w:hint="eastAsia" w:ascii="宋体" w:hAnsi="宋体" w:cs="宋体"/>
          <w:szCs w:val="21"/>
        </w:rPr>
        <w:t>（3）分包金额限额：。</w:t>
      </w:r>
      <w:bookmarkEnd w:id="273"/>
    </w:p>
    <w:p>
      <w:pPr>
        <w:spacing w:before="100" w:beforeAutospacing="1" w:after="120" w:line="400" w:lineRule="exact"/>
        <w:ind w:right="248" w:firstLine="315" w:firstLineChars="150"/>
        <w:rPr>
          <w:rFonts w:ascii="宋体" w:hAnsi="宋体" w:cs="宋体"/>
          <w:color w:val="000000"/>
          <w:szCs w:val="21"/>
        </w:rPr>
      </w:pPr>
      <w:r>
        <w:rPr>
          <w:rFonts w:hint="eastAsia" w:ascii="宋体" w:hAnsi="宋体" w:cs="宋体"/>
          <w:szCs w:val="21"/>
        </w:rPr>
        <w:t xml:space="preserve">4.3.10 分包人项目管理机构的设立：。 </w:t>
      </w:r>
    </w:p>
    <w:p>
      <w:pPr>
        <w:spacing w:line="400" w:lineRule="exact"/>
        <w:rPr>
          <w:rFonts w:ascii="宋体" w:hAnsi="宋体" w:cs="宋体"/>
          <w:szCs w:val="21"/>
        </w:rPr>
      </w:pPr>
      <w:bookmarkStart w:id="274" w:name="_Toc25625"/>
      <w:bookmarkStart w:id="275" w:name="_Toc221951158"/>
      <w:bookmarkStart w:id="276" w:name="_Toc5375"/>
      <w:r>
        <w:rPr>
          <w:rFonts w:hint="eastAsia" w:ascii="宋体" w:hAnsi="宋体" w:cs="宋体"/>
          <w:szCs w:val="21"/>
        </w:rPr>
        <w:t>4.11  不利物质条件</w:t>
      </w:r>
      <w:bookmarkEnd w:id="274"/>
      <w:bookmarkEnd w:id="275"/>
      <w:bookmarkEnd w:id="276"/>
    </w:p>
    <w:p>
      <w:pPr>
        <w:spacing w:line="400" w:lineRule="exact"/>
        <w:ind w:right="248" w:firstLine="315" w:firstLineChars="150"/>
        <w:rPr>
          <w:rFonts w:ascii="宋体" w:hAnsi="宋体" w:cs="宋体"/>
          <w:color w:val="000000"/>
          <w:szCs w:val="21"/>
        </w:rPr>
      </w:pPr>
      <w:bookmarkStart w:id="277" w:name="_Toc221951159"/>
      <w:r>
        <w:rPr>
          <w:rFonts w:hint="eastAsia" w:ascii="宋体" w:hAnsi="宋体" w:cs="宋体"/>
          <w:color w:val="000000"/>
          <w:szCs w:val="21"/>
        </w:rPr>
        <w:t>4.11.1 不利物质条件的范围：。</w:t>
      </w:r>
      <w:bookmarkEnd w:id="277"/>
    </w:p>
    <w:p>
      <w:pPr>
        <w:keepNext/>
        <w:keepLines/>
        <w:spacing w:line="400" w:lineRule="exact"/>
        <w:outlineLvl w:val="3"/>
        <w:rPr>
          <w:rFonts w:ascii="宋体" w:hAnsi="宋体" w:cs="宋体"/>
          <w:szCs w:val="21"/>
        </w:rPr>
      </w:pPr>
      <w:bookmarkStart w:id="278" w:name="_Toc259524378"/>
      <w:bookmarkStart w:id="279" w:name="_Toc221951160"/>
      <w:bookmarkStart w:id="280" w:name="_Toc27498"/>
      <w:bookmarkStart w:id="281" w:name="_Toc4197"/>
      <w:bookmarkStart w:id="282" w:name="_Toc40390802"/>
      <w:bookmarkStart w:id="283" w:name="_Toc30985"/>
      <w:bookmarkStart w:id="284" w:name="_Toc222033882"/>
      <w:bookmarkStart w:id="285" w:name="_Toc222032700"/>
      <w:bookmarkStart w:id="286" w:name="_Toc15868"/>
      <w:bookmarkStart w:id="287" w:name="_Toc25491"/>
      <w:bookmarkStart w:id="288" w:name="_Toc8944"/>
      <w:bookmarkStart w:id="289" w:name="_Toc229305391"/>
      <w:bookmarkStart w:id="290" w:name="_Toc222029531"/>
      <w:bookmarkStart w:id="291" w:name="_Toc3424"/>
      <w:bookmarkStart w:id="292" w:name="_Toc222031033"/>
      <w:r>
        <w:rPr>
          <w:rFonts w:hint="eastAsia" w:ascii="宋体" w:hAnsi="宋体" w:cs="宋体"/>
          <w:szCs w:val="21"/>
        </w:rPr>
        <w:t>5  材料和工程设备</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400" w:lineRule="exact"/>
        <w:rPr>
          <w:rFonts w:ascii="宋体" w:hAnsi="宋体" w:cs="宋体"/>
          <w:szCs w:val="21"/>
        </w:rPr>
      </w:pPr>
      <w:bookmarkStart w:id="293" w:name="_Toc221951161"/>
      <w:bookmarkStart w:id="294" w:name="_Toc8396"/>
      <w:bookmarkStart w:id="295" w:name="_Toc31066"/>
      <w:r>
        <w:rPr>
          <w:rFonts w:hint="eastAsia" w:ascii="宋体" w:hAnsi="宋体" w:cs="宋体"/>
          <w:szCs w:val="21"/>
        </w:rPr>
        <w:t xml:space="preserve">5.2  </w:t>
      </w:r>
      <w:bookmarkEnd w:id="293"/>
      <w:r>
        <w:rPr>
          <w:rFonts w:hint="eastAsia" w:ascii="宋体" w:hAnsi="宋体" w:cs="宋体"/>
          <w:szCs w:val="21"/>
        </w:rPr>
        <w:t>发包人提供的材料和工程设备</w:t>
      </w:r>
      <w:bookmarkEnd w:id="294"/>
      <w:bookmarkEnd w:id="295"/>
    </w:p>
    <w:p>
      <w:pPr>
        <w:spacing w:line="400" w:lineRule="exact"/>
        <w:ind w:firstLine="315" w:firstLineChars="150"/>
        <w:rPr>
          <w:rFonts w:ascii="宋体" w:hAnsi="宋体" w:cs="宋体"/>
          <w:szCs w:val="21"/>
        </w:rPr>
      </w:pPr>
      <w:r>
        <w:rPr>
          <w:rFonts w:hint="eastAsia" w:ascii="宋体" w:hAnsi="宋体" w:cs="宋体"/>
          <w:szCs w:val="21"/>
        </w:rPr>
        <w:t>5.2.1 发包人提</w:t>
      </w:r>
      <w:r>
        <w:rPr>
          <w:rFonts w:hint="eastAsia" w:ascii="宋体" w:hAnsi="宋体" w:cs="宋体"/>
          <w:color w:val="000000"/>
          <w:szCs w:val="21"/>
        </w:rPr>
        <w:t>供的材料和工程设备</w:t>
      </w:r>
      <w:r>
        <w:rPr>
          <w:rFonts w:hint="eastAsia" w:ascii="宋体" w:hAnsi="宋体" w:cs="宋体"/>
          <w:szCs w:val="21"/>
        </w:rPr>
        <w:t>见下表：</w:t>
      </w:r>
    </w:p>
    <w:p>
      <w:pPr>
        <w:spacing w:line="400" w:lineRule="exact"/>
        <w:ind w:right="248" w:firstLine="2450" w:firstLineChars="1167"/>
        <w:rPr>
          <w:rFonts w:ascii="宋体" w:hAnsi="宋体" w:cs="宋体"/>
          <w:color w:val="000000"/>
          <w:szCs w:val="21"/>
        </w:rPr>
      </w:pPr>
      <w:r>
        <w:rPr>
          <w:rFonts w:hint="eastAsia" w:ascii="宋体" w:hAnsi="宋体" w:cs="宋体"/>
          <w:color w:val="000000"/>
          <w:szCs w:val="21"/>
        </w:rPr>
        <w:t>发包人提供的主要材料表(参考格式)</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3"/>
              <w:jc w:val="center"/>
              <w:rPr>
                <w:rFonts w:ascii="宋体" w:hAnsi="宋体" w:cs="宋体"/>
                <w:color w:val="000000"/>
                <w:szCs w:val="21"/>
              </w:rPr>
            </w:pPr>
            <w:r>
              <w:rPr>
                <w:rFonts w:hint="eastAsia" w:ascii="宋体" w:hAnsi="宋体" w:cs="宋体"/>
                <w:color w:val="000000"/>
                <w:szCs w:val="21"/>
              </w:rPr>
              <w:t>序号</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材料名称</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材料规格</w:t>
            </w:r>
          </w:p>
        </w:tc>
        <w:tc>
          <w:tcPr>
            <w:tcW w:w="763" w:type="dxa"/>
          </w:tcPr>
          <w:p>
            <w:pPr>
              <w:spacing w:line="400" w:lineRule="exact"/>
              <w:ind w:right="-33"/>
              <w:jc w:val="center"/>
              <w:rPr>
                <w:rFonts w:ascii="宋体" w:hAnsi="宋体" w:cs="宋体"/>
                <w:color w:val="000000"/>
                <w:szCs w:val="21"/>
              </w:rPr>
            </w:pPr>
            <w:r>
              <w:rPr>
                <w:rFonts w:hint="eastAsia" w:ascii="宋体" w:hAnsi="宋体" w:cs="宋体"/>
                <w:color w:val="000000"/>
                <w:szCs w:val="21"/>
              </w:rPr>
              <w:t>数量</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交货地点</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交货方式</w:t>
            </w:r>
          </w:p>
        </w:tc>
        <w:tc>
          <w:tcPr>
            <w:tcW w:w="1596" w:type="dxa"/>
          </w:tcPr>
          <w:p>
            <w:pPr>
              <w:spacing w:line="400" w:lineRule="exact"/>
              <w:jc w:val="center"/>
              <w:rPr>
                <w:rFonts w:ascii="宋体" w:hAnsi="宋体" w:cs="宋体"/>
                <w:color w:val="000000"/>
                <w:szCs w:val="21"/>
              </w:rPr>
            </w:pPr>
            <w:r>
              <w:rPr>
                <w:rFonts w:hint="eastAsia" w:ascii="宋体" w:hAnsi="宋体" w:cs="宋体"/>
                <w:color w:val="000000"/>
                <w:szCs w:val="21"/>
              </w:rPr>
              <w:t>计划交货日期</w:t>
            </w:r>
          </w:p>
        </w:tc>
        <w:tc>
          <w:tcPr>
            <w:tcW w:w="796" w:type="dxa"/>
          </w:tcPr>
          <w:p>
            <w:pPr>
              <w:spacing w:line="40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bl>
    <w:p>
      <w:pPr>
        <w:spacing w:line="400" w:lineRule="exact"/>
        <w:ind w:right="248" w:firstLine="1131" w:firstLineChars="539"/>
        <w:jc w:val="center"/>
        <w:rPr>
          <w:rFonts w:ascii="宋体" w:hAnsi="宋体" w:cs="宋体"/>
          <w:color w:val="000000"/>
          <w:szCs w:val="21"/>
        </w:rPr>
      </w:pPr>
    </w:p>
    <w:p>
      <w:pPr>
        <w:spacing w:line="400" w:lineRule="exact"/>
        <w:ind w:right="248" w:firstLine="1131" w:firstLineChars="539"/>
        <w:jc w:val="center"/>
        <w:rPr>
          <w:rFonts w:ascii="宋体" w:hAnsi="宋体" w:cs="宋体"/>
          <w:color w:val="000000"/>
          <w:szCs w:val="21"/>
        </w:rPr>
      </w:pPr>
    </w:p>
    <w:p>
      <w:pPr>
        <w:spacing w:line="400" w:lineRule="exact"/>
        <w:ind w:right="248" w:firstLine="1131" w:firstLineChars="539"/>
        <w:jc w:val="center"/>
        <w:rPr>
          <w:rFonts w:ascii="宋体" w:hAnsi="宋体" w:cs="宋体"/>
          <w:color w:val="000000"/>
          <w:szCs w:val="21"/>
        </w:rPr>
      </w:pPr>
    </w:p>
    <w:p>
      <w:pPr>
        <w:spacing w:line="400" w:lineRule="exact"/>
        <w:ind w:right="248" w:firstLine="1131" w:firstLineChars="539"/>
        <w:jc w:val="center"/>
        <w:rPr>
          <w:rFonts w:ascii="宋体" w:hAnsi="宋体" w:cs="宋体"/>
          <w:color w:val="000000"/>
          <w:szCs w:val="21"/>
        </w:rPr>
      </w:pPr>
    </w:p>
    <w:p>
      <w:pPr>
        <w:spacing w:line="400" w:lineRule="exact"/>
        <w:ind w:right="248" w:firstLine="3137" w:firstLineChars="1494"/>
        <w:rPr>
          <w:rFonts w:ascii="宋体" w:hAnsi="宋体" w:cs="宋体"/>
          <w:color w:val="000000"/>
          <w:szCs w:val="21"/>
        </w:rPr>
      </w:pPr>
      <w:r>
        <w:rPr>
          <w:rFonts w:hint="eastAsia" w:ascii="宋体" w:hAnsi="宋体" w:cs="宋体"/>
          <w:color w:val="000000"/>
          <w:szCs w:val="21"/>
        </w:rPr>
        <w:t>发包人提供的工程设备表(参考格式)</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3"/>
              <w:jc w:val="center"/>
              <w:rPr>
                <w:rFonts w:ascii="宋体" w:hAnsi="宋体" w:cs="宋体"/>
                <w:color w:val="000000"/>
                <w:szCs w:val="21"/>
              </w:rPr>
            </w:pPr>
            <w:r>
              <w:rPr>
                <w:rFonts w:hint="eastAsia" w:ascii="宋体" w:hAnsi="宋体" w:cs="宋体"/>
                <w:color w:val="000000"/>
                <w:szCs w:val="21"/>
              </w:rPr>
              <w:t>序号</w:t>
            </w:r>
          </w:p>
        </w:tc>
        <w:tc>
          <w:tcPr>
            <w:tcW w:w="1596" w:type="dxa"/>
          </w:tcPr>
          <w:p>
            <w:pPr>
              <w:spacing w:line="400" w:lineRule="exact"/>
              <w:jc w:val="center"/>
              <w:rPr>
                <w:rFonts w:ascii="宋体" w:hAnsi="宋体" w:cs="宋体"/>
                <w:color w:val="000000"/>
                <w:szCs w:val="21"/>
              </w:rPr>
            </w:pPr>
            <w:r>
              <w:rPr>
                <w:rFonts w:hint="eastAsia" w:ascii="宋体" w:hAnsi="宋体" w:cs="宋体"/>
                <w:color w:val="000000"/>
                <w:szCs w:val="21"/>
              </w:rPr>
              <w:t>工程设备名称</w:t>
            </w:r>
          </w:p>
        </w:tc>
        <w:tc>
          <w:tcPr>
            <w:tcW w:w="1396" w:type="dxa"/>
          </w:tcPr>
          <w:p>
            <w:pPr>
              <w:spacing w:line="400" w:lineRule="exact"/>
              <w:jc w:val="center"/>
              <w:rPr>
                <w:rFonts w:ascii="宋体" w:hAnsi="宋体" w:cs="宋体"/>
                <w:color w:val="000000"/>
                <w:szCs w:val="21"/>
              </w:rPr>
            </w:pPr>
            <w:r>
              <w:rPr>
                <w:rFonts w:hint="eastAsia" w:ascii="宋体" w:hAnsi="宋体" w:cs="宋体"/>
                <w:color w:val="000000"/>
                <w:szCs w:val="21"/>
              </w:rPr>
              <w:t>型号及规格</w:t>
            </w:r>
          </w:p>
        </w:tc>
        <w:tc>
          <w:tcPr>
            <w:tcW w:w="763" w:type="dxa"/>
          </w:tcPr>
          <w:p>
            <w:pPr>
              <w:spacing w:line="400" w:lineRule="exact"/>
              <w:ind w:right="-33"/>
              <w:jc w:val="center"/>
              <w:rPr>
                <w:rFonts w:ascii="宋体" w:hAnsi="宋体" w:cs="宋体"/>
                <w:color w:val="000000"/>
                <w:szCs w:val="21"/>
              </w:rPr>
            </w:pPr>
            <w:r>
              <w:rPr>
                <w:rFonts w:hint="eastAsia" w:ascii="宋体" w:hAnsi="宋体" w:cs="宋体"/>
                <w:color w:val="000000"/>
                <w:szCs w:val="21"/>
              </w:rPr>
              <w:t>数量</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交货地点</w:t>
            </w:r>
          </w:p>
        </w:tc>
        <w:tc>
          <w:tcPr>
            <w:tcW w:w="1196" w:type="dxa"/>
          </w:tcPr>
          <w:p>
            <w:pPr>
              <w:spacing w:line="400" w:lineRule="exact"/>
              <w:jc w:val="center"/>
              <w:rPr>
                <w:rFonts w:ascii="宋体" w:hAnsi="宋体" w:cs="宋体"/>
                <w:color w:val="000000"/>
                <w:szCs w:val="21"/>
              </w:rPr>
            </w:pPr>
            <w:r>
              <w:rPr>
                <w:rFonts w:hint="eastAsia" w:ascii="宋体" w:hAnsi="宋体" w:cs="宋体"/>
                <w:color w:val="000000"/>
                <w:szCs w:val="21"/>
              </w:rPr>
              <w:t>交货方式</w:t>
            </w:r>
          </w:p>
        </w:tc>
        <w:tc>
          <w:tcPr>
            <w:tcW w:w="1550" w:type="dxa"/>
          </w:tcPr>
          <w:p>
            <w:pPr>
              <w:spacing w:line="400" w:lineRule="exact"/>
              <w:jc w:val="center"/>
              <w:rPr>
                <w:rFonts w:ascii="宋体" w:hAnsi="宋体" w:cs="宋体"/>
                <w:color w:val="000000"/>
                <w:szCs w:val="21"/>
              </w:rPr>
            </w:pPr>
            <w:r>
              <w:rPr>
                <w:rFonts w:hint="eastAsia" w:ascii="宋体" w:hAnsi="宋体" w:cs="宋体"/>
                <w:color w:val="000000"/>
                <w:szCs w:val="21"/>
              </w:rPr>
              <w:t>计划交货日期</w:t>
            </w:r>
          </w:p>
        </w:tc>
        <w:tc>
          <w:tcPr>
            <w:tcW w:w="796" w:type="dxa"/>
          </w:tcPr>
          <w:p>
            <w:pPr>
              <w:spacing w:line="40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13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50"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13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50"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1396" w:type="dxa"/>
          </w:tcPr>
          <w:p>
            <w:pPr>
              <w:spacing w:line="400" w:lineRule="exact"/>
              <w:ind w:right="248"/>
              <w:jc w:val="center"/>
              <w:rPr>
                <w:rFonts w:ascii="宋体" w:hAnsi="宋体" w:cs="宋体"/>
                <w:color w:val="000000"/>
                <w:szCs w:val="21"/>
              </w:rPr>
            </w:pPr>
          </w:p>
        </w:tc>
        <w:tc>
          <w:tcPr>
            <w:tcW w:w="763"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196" w:type="dxa"/>
          </w:tcPr>
          <w:p>
            <w:pPr>
              <w:spacing w:line="400" w:lineRule="exact"/>
              <w:ind w:right="248"/>
              <w:jc w:val="center"/>
              <w:rPr>
                <w:rFonts w:ascii="宋体" w:hAnsi="宋体" w:cs="宋体"/>
                <w:color w:val="000000"/>
                <w:szCs w:val="21"/>
              </w:rPr>
            </w:pPr>
          </w:p>
        </w:tc>
        <w:tc>
          <w:tcPr>
            <w:tcW w:w="1550" w:type="dxa"/>
          </w:tcPr>
          <w:p>
            <w:pPr>
              <w:spacing w:line="400" w:lineRule="exact"/>
              <w:ind w:right="248"/>
              <w:jc w:val="center"/>
              <w:rPr>
                <w:rFonts w:ascii="宋体" w:hAnsi="宋体" w:cs="宋体"/>
                <w:color w:val="000000"/>
                <w:szCs w:val="21"/>
              </w:rPr>
            </w:pPr>
          </w:p>
        </w:tc>
        <w:tc>
          <w:tcPr>
            <w:tcW w:w="796" w:type="dxa"/>
          </w:tcPr>
          <w:p>
            <w:pPr>
              <w:spacing w:line="400" w:lineRule="exact"/>
              <w:ind w:right="248"/>
              <w:jc w:val="center"/>
              <w:rPr>
                <w:rFonts w:ascii="宋体" w:hAnsi="宋体" w:cs="宋体"/>
                <w:color w:val="000000"/>
                <w:szCs w:val="21"/>
              </w:rPr>
            </w:pPr>
          </w:p>
        </w:tc>
      </w:tr>
    </w:tbl>
    <w:p>
      <w:pPr>
        <w:spacing w:line="400" w:lineRule="exact"/>
        <w:rPr>
          <w:rFonts w:ascii="宋体" w:hAnsi="宋体" w:cs="宋体"/>
          <w:szCs w:val="21"/>
        </w:rPr>
      </w:pPr>
    </w:p>
    <w:p>
      <w:pPr>
        <w:keepNext/>
        <w:keepLines/>
        <w:spacing w:line="400" w:lineRule="exact"/>
        <w:outlineLvl w:val="3"/>
        <w:rPr>
          <w:rFonts w:ascii="宋体" w:hAnsi="宋体" w:cs="宋体"/>
          <w:szCs w:val="21"/>
        </w:rPr>
      </w:pPr>
      <w:bookmarkStart w:id="296" w:name="_Toc27244"/>
      <w:bookmarkStart w:id="297" w:name="_Toc1098"/>
      <w:bookmarkStart w:id="298" w:name="_Toc222029532"/>
      <w:bookmarkStart w:id="299" w:name="_Toc229305392"/>
      <w:bookmarkStart w:id="300" w:name="_Toc14926"/>
      <w:bookmarkStart w:id="301" w:name="_Toc14"/>
      <w:bookmarkStart w:id="302" w:name="_Toc25643"/>
      <w:bookmarkStart w:id="303" w:name="_Toc40390803"/>
      <w:bookmarkStart w:id="304" w:name="_Toc14640"/>
      <w:bookmarkStart w:id="305" w:name="_Toc222033883"/>
      <w:bookmarkStart w:id="306" w:name="_Toc10825"/>
      <w:bookmarkStart w:id="307" w:name="_Toc221951166"/>
      <w:bookmarkStart w:id="308" w:name="_Toc222031034"/>
      <w:bookmarkStart w:id="309" w:name="_Toc259524379"/>
      <w:bookmarkStart w:id="310" w:name="_Toc222032701"/>
      <w:r>
        <w:rPr>
          <w:rFonts w:hint="eastAsia" w:ascii="宋体" w:hAnsi="宋体" w:cs="宋体"/>
          <w:szCs w:val="21"/>
        </w:rPr>
        <w:t>6  施工设备和临时设施</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400" w:lineRule="exact"/>
        <w:rPr>
          <w:rFonts w:ascii="宋体" w:hAnsi="宋体" w:cs="宋体"/>
          <w:szCs w:val="21"/>
        </w:rPr>
      </w:pPr>
      <w:bookmarkStart w:id="311" w:name="_Toc221951167"/>
      <w:bookmarkStart w:id="312" w:name="_Toc29416"/>
      <w:bookmarkStart w:id="313" w:name="_Toc1579"/>
      <w:r>
        <w:rPr>
          <w:rFonts w:hint="eastAsia" w:ascii="宋体" w:hAnsi="宋体" w:cs="宋体"/>
          <w:szCs w:val="21"/>
        </w:rPr>
        <w:t>6.2  发包人提供的施工设备和临时设施</w:t>
      </w:r>
      <w:bookmarkEnd w:id="311"/>
      <w:bookmarkEnd w:id="312"/>
      <w:bookmarkEnd w:id="313"/>
    </w:p>
    <w:p>
      <w:pPr>
        <w:spacing w:line="400" w:lineRule="exact"/>
        <w:ind w:right="248"/>
        <w:rPr>
          <w:rFonts w:ascii="宋体" w:hAnsi="宋体" w:cs="宋体"/>
          <w:color w:val="000000"/>
          <w:szCs w:val="21"/>
        </w:rPr>
      </w:pPr>
      <w:bookmarkStart w:id="314" w:name="_Toc221951169"/>
      <w:r>
        <w:rPr>
          <w:rFonts w:hint="eastAsia" w:ascii="宋体" w:hAnsi="宋体" w:cs="宋体"/>
          <w:color w:val="000000"/>
          <w:szCs w:val="21"/>
        </w:rPr>
        <w:t>（1）发包人提供的的施工设备见下表</w:t>
      </w:r>
      <w:bookmarkEnd w:id="314"/>
      <w:r>
        <w:rPr>
          <w:rFonts w:hint="eastAsia" w:ascii="宋体" w:hAnsi="宋体" w:cs="宋体"/>
          <w:color w:val="000000"/>
          <w:szCs w:val="21"/>
        </w:rPr>
        <w:t>：</w:t>
      </w:r>
      <w:bookmarkStart w:id="315" w:name="_Toc221951170"/>
    </w:p>
    <w:p>
      <w:pPr>
        <w:spacing w:line="400" w:lineRule="exact"/>
        <w:ind w:right="248" w:firstLine="2753" w:firstLineChars="1311"/>
        <w:rPr>
          <w:rFonts w:ascii="宋体" w:hAnsi="宋体" w:cs="宋体"/>
          <w:color w:val="000000"/>
          <w:szCs w:val="21"/>
        </w:rPr>
      </w:pPr>
      <w:r>
        <w:rPr>
          <w:rFonts w:hint="eastAsia" w:ascii="宋体" w:hAnsi="宋体" w:cs="宋体"/>
          <w:color w:val="000000"/>
          <w:szCs w:val="21"/>
        </w:rPr>
        <w:t>发包人提供的施工设备表(参考格式)</w:t>
      </w:r>
      <w:bookmarkEnd w:id="315"/>
    </w:p>
    <w:tbl>
      <w:tblPr>
        <w:tblStyle w:val="11"/>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3"/>
              <w:jc w:val="center"/>
              <w:rPr>
                <w:rFonts w:ascii="宋体" w:hAnsi="宋体" w:cs="宋体"/>
                <w:color w:val="000000"/>
                <w:szCs w:val="21"/>
              </w:rPr>
            </w:pPr>
            <w:r>
              <w:rPr>
                <w:rFonts w:hint="eastAsia" w:ascii="宋体" w:hAnsi="宋体" w:cs="宋体"/>
                <w:color w:val="000000"/>
                <w:szCs w:val="21"/>
              </w:rPr>
              <w:t>序号</w:t>
            </w:r>
          </w:p>
        </w:tc>
        <w:tc>
          <w:tcPr>
            <w:tcW w:w="1193" w:type="dxa"/>
            <w:vAlign w:val="center"/>
          </w:tcPr>
          <w:p>
            <w:pPr>
              <w:spacing w:line="400" w:lineRule="exact"/>
              <w:ind w:right="-3"/>
              <w:jc w:val="center"/>
              <w:rPr>
                <w:rFonts w:ascii="宋体" w:hAnsi="宋体" w:cs="宋体"/>
                <w:color w:val="000000"/>
                <w:szCs w:val="21"/>
              </w:rPr>
            </w:pPr>
            <w:bookmarkStart w:id="316" w:name="_Toc221951171"/>
            <w:r>
              <w:rPr>
                <w:rFonts w:hint="eastAsia" w:ascii="宋体" w:hAnsi="宋体" w:cs="宋体"/>
                <w:color w:val="000000"/>
                <w:szCs w:val="21"/>
              </w:rPr>
              <w:t>设备名称</w:t>
            </w:r>
            <w:bookmarkEnd w:id="316"/>
          </w:p>
        </w:tc>
        <w:tc>
          <w:tcPr>
            <w:tcW w:w="1396" w:type="dxa"/>
            <w:vAlign w:val="center"/>
          </w:tcPr>
          <w:p>
            <w:pPr>
              <w:spacing w:line="400" w:lineRule="exact"/>
              <w:jc w:val="center"/>
              <w:rPr>
                <w:rFonts w:ascii="宋体" w:hAnsi="宋体" w:cs="宋体"/>
                <w:color w:val="000000"/>
                <w:szCs w:val="21"/>
              </w:rPr>
            </w:pPr>
            <w:bookmarkStart w:id="317" w:name="_Toc221951172"/>
            <w:r>
              <w:rPr>
                <w:rFonts w:hint="eastAsia" w:ascii="宋体" w:hAnsi="宋体" w:cs="宋体"/>
                <w:color w:val="000000"/>
                <w:szCs w:val="21"/>
              </w:rPr>
              <w:t>型号及规格</w:t>
            </w:r>
            <w:bookmarkEnd w:id="317"/>
          </w:p>
        </w:tc>
        <w:tc>
          <w:tcPr>
            <w:tcW w:w="1196" w:type="dxa"/>
            <w:vAlign w:val="center"/>
          </w:tcPr>
          <w:p>
            <w:pPr>
              <w:spacing w:line="400" w:lineRule="exact"/>
              <w:jc w:val="center"/>
              <w:rPr>
                <w:rFonts w:ascii="宋体" w:hAnsi="宋体" w:cs="宋体"/>
                <w:color w:val="000000"/>
                <w:szCs w:val="21"/>
              </w:rPr>
            </w:pPr>
            <w:bookmarkStart w:id="318" w:name="_Toc221951173"/>
            <w:r>
              <w:rPr>
                <w:rFonts w:hint="eastAsia" w:ascii="宋体" w:hAnsi="宋体" w:cs="宋体"/>
                <w:color w:val="000000"/>
                <w:szCs w:val="21"/>
              </w:rPr>
              <w:t>设备状况</w:t>
            </w:r>
            <w:bookmarkEnd w:id="318"/>
          </w:p>
        </w:tc>
        <w:tc>
          <w:tcPr>
            <w:tcW w:w="763" w:type="dxa"/>
            <w:vAlign w:val="center"/>
          </w:tcPr>
          <w:p>
            <w:pPr>
              <w:spacing w:line="400" w:lineRule="exact"/>
              <w:ind w:right="-33"/>
              <w:jc w:val="center"/>
              <w:rPr>
                <w:rFonts w:ascii="宋体" w:hAnsi="宋体" w:cs="宋体"/>
                <w:color w:val="000000"/>
                <w:szCs w:val="21"/>
              </w:rPr>
            </w:pPr>
            <w:bookmarkStart w:id="319" w:name="_Toc221951174"/>
            <w:r>
              <w:rPr>
                <w:rFonts w:hint="eastAsia" w:ascii="宋体" w:hAnsi="宋体" w:cs="宋体"/>
                <w:color w:val="000000"/>
                <w:szCs w:val="21"/>
              </w:rPr>
              <w:t>数量</w:t>
            </w:r>
            <w:bookmarkEnd w:id="319"/>
          </w:p>
        </w:tc>
        <w:tc>
          <w:tcPr>
            <w:tcW w:w="1196" w:type="dxa"/>
            <w:vAlign w:val="center"/>
          </w:tcPr>
          <w:p>
            <w:pPr>
              <w:spacing w:line="400" w:lineRule="exact"/>
              <w:jc w:val="center"/>
              <w:rPr>
                <w:rFonts w:ascii="宋体" w:hAnsi="宋体" w:cs="宋体"/>
                <w:color w:val="000000"/>
                <w:szCs w:val="21"/>
              </w:rPr>
            </w:pPr>
            <w:bookmarkStart w:id="320" w:name="_Toc221951175"/>
            <w:r>
              <w:rPr>
                <w:rFonts w:hint="eastAsia" w:ascii="宋体" w:hAnsi="宋体" w:cs="宋体"/>
                <w:color w:val="000000"/>
                <w:szCs w:val="21"/>
              </w:rPr>
              <w:t>移交地点</w:t>
            </w:r>
            <w:bookmarkEnd w:id="320"/>
          </w:p>
        </w:tc>
        <w:tc>
          <w:tcPr>
            <w:tcW w:w="1596" w:type="dxa"/>
          </w:tcPr>
          <w:p>
            <w:pPr>
              <w:spacing w:line="400" w:lineRule="exact"/>
              <w:jc w:val="center"/>
              <w:rPr>
                <w:rFonts w:ascii="宋体" w:hAnsi="宋体" w:cs="宋体"/>
                <w:color w:val="000000"/>
                <w:szCs w:val="21"/>
              </w:rPr>
            </w:pPr>
            <w:r>
              <w:rPr>
                <w:rFonts w:hint="eastAsia" w:ascii="宋体" w:hAnsi="宋体" w:cs="宋体"/>
                <w:color w:val="000000"/>
                <w:szCs w:val="21"/>
              </w:rPr>
              <w:t>计划移交日期</w:t>
            </w:r>
          </w:p>
        </w:tc>
        <w:tc>
          <w:tcPr>
            <w:tcW w:w="796" w:type="dxa"/>
            <w:vAlign w:val="center"/>
          </w:tcPr>
          <w:p>
            <w:pPr>
              <w:spacing w:line="400" w:lineRule="exact"/>
              <w:jc w:val="center"/>
              <w:rPr>
                <w:rFonts w:ascii="宋体" w:hAnsi="宋体" w:cs="宋体"/>
                <w:color w:val="000000"/>
                <w:szCs w:val="21"/>
              </w:rPr>
            </w:pPr>
            <w:bookmarkStart w:id="321" w:name="_Toc221951176"/>
            <w:r>
              <w:rPr>
                <w:rFonts w:hint="eastAsia" w:ascii="宋体" w:hAnsi="宋体" w:cs="宋体"/>
                <w:color w:val="000000"/>
                <w:szCs w:val="21"/>
              </w:rPr>
              <w:t>备注</w:t>
            </w:r>
            <w:bookmarkEnd w:id="32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3" w:type="dxa"/>
            <w:vAlign w:val="center"/>
          </w:tcPr>
          <w:p>
            <w:pPr>
              <w:spacing w:line="400" w:lineRule="exact"/>
              <w:ind w:right="248"/>
              <w:jc w:val="center"/>
              <w:rPr>
                <w:rFonts w:ascii="宋体" w:hAnsi="宋体" w:cs="宋体"/>
                <w:color w:val="000000"/>
                <w:szCs w:val="21"/>
              </w:rPr>
            </w:pPr>
          </w:p>
        </w:tc>
        <w:tc>
          <w:tcPr>
            <w:tcW w:w="1396"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763"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vAlign w:val="center"/>
          </w:tcPr>
          <w:p>
            <w:pPr>
              <w:spacing w:line="400" w:lineRule="exact"/>
              <w:ind w:right="248"/>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3" w:type="dxa"/>
            <w:vAlign w:val="center"/>
          </w:tcPr>
          <w:p>
            <w:pPr>
              <w:spacing w:line="400" w:lineRule="exact"/>
              <w:ind w:right="248"/>
              <w:jc w:val="center"/>
              <w:rPr>
                <w:rFonts w:ascii="宋体" w:hAnsi="宋体" w:cs="宋体"/>
                <w:color w:val="000000"/>
                <w:szCs w:val="21"/>
              </w:rPr>
            </w:pPr>
          </w:p>
        </w:tc>
        <w:tc>
          <w:tcPr>
            <w:tcW w:w="1396"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763"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vAlign w:val="center"/>
          </w:tcPr>
          <w:p>
            <w:pPr>
              <w:spacing w:line="400" w:lineRule="exact"/>
              <w:ind w:right="248"/>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400" w:lineRule="exact"/>
              <w:ind w:right="248"/>
              <w:jc w:val="center"/>
              <w:rPr>
                <w:rFonts w:ascii="宋体" w:hAnsi="宋体" w:cs="宋体"/>
                <w:color w:val="000000"/>
                <w:szCs w:val="21"/>
              </w:rPr>
            </w:pPr>
          </w:p>
        </w:tc>
        <w:tc>
          <w:tcPr>
            <w:tcW w:w="1193" w:type="dxa"/>
            <w:vAlign w:val="center"/>
          </w:tcPr>
          <w:p>
            <w:pPr>
              <w:spacing w:line="400" w:lineRule="exact"/>
              <w:ind w:right="248"/>
              <w:jc w:val="center"/>
              <w:rPr>
                <w:rFonts w:ascii="宋体" w:hAnsi="宋体" w:cs="宋体"/>
                <w:color w:val="000000"/>
                <w:szCs w:val="21"/>
              </w:rPr>
            </w:pPr>
          </w:p>
        </w:tc>
        <w:tc>
          <w:tcPr>
            <w:tcW w:w="1396"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763" w:type="dxa"/>
            <w:vAlign w:val="center"/>
          </w:tcPr>
          <w:p>
            <w:pPr>
              <w:spacing w:line="400" w:lineRule="exact"/>
              <w:ind w:right="248"/>
              <w:jc w:val="center"/>
              <w:rPr>
                <w:rFonts w:ascii="宋体" w:hAnsi="宋体" w:cs="宋体"/>
                <w:color w:val="000000"/>
                <w:szCs w:val="21"/>
              </w:rPr>
            </w:pPr>
          </w:p>
        </w:tc>
        <w:tc>
          <w:tcPr>
            <w:tcW w:w="1196" w:type="dxa"/>
            <w:vAlign w:val="center"/>
          </w:tcPr>
          <w:p>
            <w:pPr>
              <w:spacing w:line="400" w:lineRule="exact"/>
              <w:ind w:right="248"/>
              <w:jc w:val="center"/>
              <w:rPr>
                <w:rFonts w:ascii="宋体" w:hAnsi="宋体" w:cs="宋体"/>
                <w:color w:val="000000"/>
                <w:szCs w:val="21"/>
              </w:rPr>
            </w:pPr>
          </w:p>
        </w:tc>
        <w:tc>
          <w:tcPr>
            <w:tcW w:w="1596" w:type="dxa"/>
          </w:tcPr>
          <w:p>
            <w:pPr>
              <w:spacing w:line="400" w:lineRule="exact"/>
              <w:ind w:right="248"/>
              <w:jc w:val="center"/>
              <w:rPr>
                <w:rFonts w:ascii="宋体" w:hAnsi="宋体" w:cs="宋体"/>
                <w:color w:val="000000"/>
                <w:szCs w:val="21"/>
              </w:rPr>
            </w:pPr>
          </w:p>
        </w:tc>
        <w:tc>
          <w:tcPr>
            <w:tcW w:w="796" w:type="dxa"/>
            <w:vAlign w:val="center"/>
          </w:tcPr>
          <w:p>
            <w:pPr>
              <w:spacing w:line="400" w:lineRule="exact"/>
              <w:ind w:right="248"/>
              <w:jc w:val="center"/>
              <w:rPr>
                <w:rFonts w:ascii="宋体" w:hAnsi="宋体" w:cs="宋体"/>
                <w:color w:val="000000"/>
                <w:szCs w:val="21"/>
              </w:rPr>
            </w:pPr>
          </w:p>
        </w:tc>
      </w:tr>
    </w:tbl>
    <w:p>
      <w:pPr>
        <w:spacing w:before="100" w:beforeAutospacing="1" w:after="120" w:line="400" w:lineRule="exact"/>
        <w:rPr>
          <w:rFonts w:ascii="宋体" w:hAnsi="宋体" w:cs="宋体"/>
          <w:color w:val="000000"/>
          <w:szCs w:val="21"/>
        </w:rPr>
      </w:pPr>
      <w:bookmarkStart w:id="322" w:name="_Toc221951177"/>
      <w:r>
        <w:rPr>
          <w:rFonts w:hint="eastAsia" w:ascii="宋体" w:hAnsi="宋体" w:cs="宋体"/>
          <w:color w:val="000000"/>
          <w:szCs w:val="21"/>
        </w:rPr>
        <w:t>注：设备状况栏内填写该设备的新旧程度、购进时间、已使用小时数和最近一次的大修时间。</w:t>
      </w:r>
      <w:bookmarkEnd w:id="322"/>
    </w:p>
    <w:p>
      <w:pPr>
        <w:spacing w:line="400" w:lineRule="exact"/>
        <w:ind w:right="248"/>
        <w:jc w:val="left"/>
        <w:rPr>
          <w:rFonts w:ascii="宋体" w:hAnsi="宋体" w:cs="宋体"/>
          <w:color w:val="000000"/>
          <w:szCs w:val="21"/>
        </w:rPr>
      </w:pPr>
      <w:r>
        <w:rPr>
          <w:rFonts w:hint="eastAsia" w:ascii="宋体" w:hAnsi="宋体" w:cs="宋体"/>
          <w:color w:val="000000"/>
          <w:szCs w:val="21"/>
        </w:rPr>
        <w:t>（2）发包人提供的临时施：。</w:t>
      </w:r>
    </w:p>
    <w:p>
      <w:pPr>
        <w:keepNext/>
        <w:keepLines/>
        <w:spacing w:line="400" w:lineRule="exact"/>
        <w:outlineLvl w:val="3"/>
        <w:rPr>
          <w:rFonts w:ascii="宋体" w:hAnsi="宋体" w:cs="宋体"/>
          <w:szCs w:val="21"/>
        </w:rPr>
      </w:pPr>
      <w:bookmarkStart w:id="323" w:name="_Toc222032702"/>
      <w:bookmarkStart w:id="324" w:name="_Toc40390804"/>
      <w:bookmarkStart w:id="325" w:name="_Toc27413"/>
      <w:bookmarkStart w:id="326" w:name="_Toc221951178"/>
      <w:bookmarkStart w:id="327" w:name="_Toc5707"/>
      <w:bookmarkStart w:id="328" w:name="_Toc1386"/>
      <w:bookmarkStart w:id="329" w:name="_Toc222033884"/>
      <w:bookmarkStart w:id="330" w:name="_Toc222029533"/>
      <w:bookmarkStart w:id="331" w:name="_Toc222031035"/>
      <w:bookmarkStart w:id="332" w:name="_Toc20072"/>
      <w:bookmarkStart w:id="333" w:name="_Toc30181"/>
      <w:bookmarkStart w:id="334" w:name="_Toc5333"/>
      <w:bookmarkStart w:id="335" w:name="_Toc259524380"/>
      <w:bookmarkStart w:id="336" w:name="_Toc2510"/>
      <w:r>
        <w:rPr>
          <w:rFonts w:hint="eastAsia" w:ascii="宋体" w:hAnsi="宋体" w:cs="宋体"/>
          <w:szCs w:val="21"/>
        </w:rPr>
        <w:t>7  交通运输</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400" w:lineRule="exact"/>
        <w:rPr>
          <w:rFonts w:ascii="宋体" w:hAnsi="宋体" w:cs="宋体"/>
          <w:szCs w:val="21"/>
        </w:rPr>
      </w:pPr>
      <w:bookmarkStart w:id="337" w:name="_Toc6966"/>
      <w:bookmarkStart w:id="338" w:name="_Toc221951179"/>
      <w:bookmarkStart w:id="339" w:name="_Toc17871"/>
      <w:r>
        <w:rPr>
          <w:rFonts w:hint="eastAsia" w:ascii="宋体" w:hAnsi="宋体" w:cs="宋体"/>
          <w:szCs w:val="21"/>
        </w:rPr>
        <w:t>7.1  道路通行权和场外设施</w:t>
      </w:r>
      <w:bookmarkEnd w:id="337"/>
      <w:bookmarkEnd w:id="338"/>
      <w:bookmarkEnd w:id="339"/>
    </w:p>
    <w:p>
      <w:pPr>
        <w:spacing w:line="400" w:lineRule="exact"/>
        <w:ind w:right="248" w:firstLine="315" w:firstLineChars="150"/>
        <w:rPr>
          <w:rFonts w:ascii="宋体" w:hAnsi="宋体" w:cs="宋体"/>
          <w:color w:val="000000"/>
          <w:szCs w:val="21"/>
        </w:rPr>
      </w:pPr>
      <w:r>
        <w:rPr>
          <w:rFonts w:hint="eastAsia" w:ascii="宋体" w:hAnsi="宋体" w:cs="宋体"/>
          <w:color w:val="000000"/>
          <w:szCs w:val="21"/>
        </w:rPr>
        <w:t>道路通行权和场外设施的约定</w:t>
      </w:r>
      <w:r>
        <w:rPr>
          <w:rFonts w:hint="eastAsia" w:ascii="宋体" w:hAnsi="宋体" w:cs="宋体"/>
          <w:szCs w:val="21"/>
        </w:rPr>
        <w:t>：</w:t>
      </w:r>
      <w:r>
        <w:rPr>
          <w:rFonts w:hint="eastAsia" w:ascii="宋体" w:hAnsi="宋体" w:cs="宋体"/>
          <w:color w:val="000000"/>
          <w:szCs w:val="21"/>
        </w:rPr>
        <w:t>。</w:t>
      </w:r>
    </w:p>
    <w:p>
      <w:pPr>
        <w:keepNext/>
        <w:keepLines/>
        <w:spacing w:line="400" w:lineRule="exact"/>
        <w:outlineLvl w:val="3"/>
        <w:rPr>
          <w:rFonts w:ascii="宋体" w:hAnsi="宋体" w:cs="宋体"/>
          <w:szCs w:val="21"/>
        </w:rPr>
      </w:pPr>
      <w:bookmarkStart w:id="340" w:name="_Toc12761"/>
      <w:bookmarkStart w:id="341" w:name="_Toc11148"/>
      <w:bookmarkStart w:id="342" w:name="_Toc15306"/>
      <w:bookmarkStart w:id="343" w:name="_Toc14763"/>
      <w:bookmarkStart w:id="344" w:name="_Toc259524381"/>
      <w:bookmarkStart w:id="345" w:name="_Toc40390805"/>
      <w:bookmarkStart w:id="346" w:name="_Toc30892"/>
      <w:bookmarkStart w:id="347" w:name="_Toc26763"/>
      <w:bookmarkStart w:id="348" w:name="_Toc16740"/>
      <w:r>
        <w:rPr>
          <w:rFonts w:hint="eastAsia" w:ascii="宋体" w:hAnsi="宋体" w:cs="宋体"/>
          <w:szCs w:val="21"/>
        </w:rPr>
        <w:t>8  测量放线</w:t>
      </w:r>
      <w:bookmarkEnd w:id="340"/>
      <w:bookmarkEnd w:id="341"/>
      <w:bookmarkEnd w:id="342"/>
      <w:bookmarkEnd w:id="343"/>
      <w:bookmarkEnd w:id="344"/>
      <w:bookmarkEnd w:id="345"/>
      <w:bookmarkEnd w:id="346"/>
      <w:bookmarkEnd w:id="347"/>
      <w:bookmarkEnd w:id="348"/>
    </w:p>
    <w:p>
      <w:pPr>
        <w:spacing w:line="400" w:lineRule="exact"/>
        <w:rPr>
          <w:rFonts w:ascii="宋体" w:hAnsi="宋体" w:cs="宋体"/>
          <w:szCs w:val="21"/>
        </w:rPr>
      </w:pPr>
      <w:bookmarkStart w:id="349" w:name="_Toc10382"/>
      <w:bookmarkStart w:id="350" w:name="_Toc14190"/>
      <w:r>
        <w:rPr>
          <w:rFonts w:hint="eastAsia" w:ascii="宋体" w:hAnsi="宋体" w:cs="宋体"/>
          <w:szCs w:val="21"/>
        </w:rPr>
        <w:t>8.1施工控制网</w:t>
      </w:r>
      <w:bookmarkEnd w:id="349"/>
      <w:bookmarkEnd w:id="350"/>
    </w:p>
    <w:p>
      <w:pPr>
        <w:spacing w:line="400" w:lineRule="exact"/>
        <w:ind w:right="248" w:firstLine="315" w:firstLineChars="150"/>
        <w:rPr>
          <w:rFonts w:ascii="宋体" w:hAnsi="宋体" w:cs="宋体"/>
          <w:color w:val="000000"/>
          <w:szCs w:val="21"/>
        </w:rPr>
      </w:pPr>
      <w:r>
        <w:rPr>
          <w:rFonts w:hint="eastAsia" w:ascii="宋体" w:hAnsi="宋体" w:cs="宋体"/>
          <w:color w:val="000000"/>
          <w:szCs w:val="21"/>
        </w:rPr>
        <w:t>8.1.1 施工控制网的约定： 。</w:t>
      </w:r>
    </w:p>
    <w:p>
      <w:pPr>
        <w:keepNext/>
        <w:keepLines/>
        <w:spacing w:line="400" w:lineRule="exact"/>
        <w:outlineLvl w:val="3"/>
        <w:rPr>
          <w:rFonts w:ascii="宋体" w:hAnsi="宋体" w:cs="宋体"/>
          <w:szCs w:val="21"/>
        </w:rPr>
      </w:pPr>
      <w:bookmarkStart w:id="351" w:name="_Toc30274"/>
      <w:bookmarkStart w:id="352" w:name="_Toc18292"/>
      <w:bookmarkStart w:id="353" w:name="_Toc6672"/>
      <w:bookmarkStart w:id="354" w:name="_Toc23233"/>
      <w:bookmarkStart w:id="355" w:name="_Toc40390806"/>
      <w:bookmarkStart w:id="356" w:name="_Toc21749"/>
      <w:bookmarkStart w:id="357" w:name="_Toc6826"/>
      <w:bookmarkStart w:id="358" w:name="_Toc259524382"/>
      <w:bookmarkStart w:id="359" w:name="_Toc13059"/>
      <w:r>
        <w:rPr>
          <w:rFonts w:hint="eastAsia" w:ascii="宋体" w:hAnsi="宋体" w:cs="宋体"/>
          <w:szCs w:val="21"/>
        </w:rPr>
        <w:t>9  施工安全、治安保卫和环境保护</w:t>
      </w:r>
      <w:bookmarkEnd w:id="351"/>
      <w:bookmarkEnd w:id="352"/>
      <w:bookmarkEnd w:id="353"/>
      <w:bookmarkEnd w:id="354"/>
      <w:bookmarkEnd w:id="355"/>
      <w:bookmarkEnd w:id="356"/>
      <w:bookmarkEnd w:id="357"/>
      <w:bookmarkEnd w:id="358"/>
      <w:bookmarkEnd w:id="359"/>
    </w:p>
    <w:p>
      <w:pPr>
        <w:spacing w:line="400" w:lineRule="exact"/>
        <w:rPr>
          <w:rFonts w:ascii="宋体" w:hAnsi="宋体" w:cs="宋体"/>
          <w:szCs w:val="21"/>
        </w:rPr>
      </w:pPr>
      <w:bookmarkStart w:id="360" w:name="_Toc25501"/>
      <w:bookmarkStart w:id="361" w:name="_Toc1863"/>
      <w:r>
        <w:rPr>
          <w:rFonts w:hint="eastAsia" w:ascii="宋体" w:hAnsi="宋体" w:cs="宋体"/>
          <w:szCs w:val="21"/>
        </w:rPr>
        <w:t>9.1 发包人的施工安全责任</w:t>
      </w:r>
      <w:bookmarkEnd w:id="360"/>
      <w:bookmarkEnd w:id="361"/>
    </w:p>
    <w:p>
      <w:pPr>
        <w:spacing w:line="400" w:lineRule="exact"/>
        <w:ind w:right="248" w:firstLine="315" w:firstLineChars="150"/>
        <w:rPr>
          <w:rFonts w:ascii="宋体" w:hAnsi="宋体" w:cs="宋体"/>
          <w:szCs w:val="21"/>
          <w:u w:val="single"/>
        </w:rPr>
      </w:pPr>
      <w:r>
        <w:rPr>
          <w:rFonts w:hint="eastAsia" w:ascii="宋体" w:hAnsi="宋体" w:cs="宋体"/>
          <w:szCs w:val="21"/>
        </w:rPr>
        <w:t>9</w:t>
      </w:r>
      <w:r>
        <w:rPr>
          <w:rFonts w:hint="eastAsia" w:ascii="宋体" w:hAnsi="宋体" w:cs="宋体"/>
          <w:color w:val="000000"/>
          <w:szCs w:val="21"/>
        </w:rPr>
        <w:t>.1.4 发包人提供资料，其余资料由承包人负责收集。</w:t>
      </w:r>
    </w:p>
    <w:p>
      <w:pPr>
        <w:spacing w:line="400" w:lineRule="exact"/>
        <w:rPr>
          <w:rFonts w:ascii="宋体" w:hAnsi="宋体" w:cs="宋体"/>
          <w:szCs w:val="21"/>
        </w:rPr>
      </w:pPr>
      <w:bookmarkStart w:id="362" w:name="_Toc32059"/>
      <w:bookmarkStart w:id="363" w:name="_Toc5292"/>
      <w:r>
        <w:rPr>
          <w:rFonts w:hint="eastAsia" w:ascii="宋体" w:hAnsi="宋体" w:cs="宋体"/>
          <w:szCs w:val="21"/>
        </w:rPr>
        <w:t>9.2 承包人的施工安全责任</w:t>
      </w:r>
      <w:bookmarkEnd w:id="362"/>
      <w:bookmarkEnd w:id="363"/>
    </w:p>
    <w:p>
      <w:pPr>
        <w:spacing w:line="400" w:lineRule="exact"/>
        <w:ind w:right="248" w:firstLine="480"/>
        <w:rPr>
          <w:rFonts w:ascii="宋体" w:hAnsi="宋体" w:cs="宋体"/>
          <w:szCs w:val="21"/>
        </w:rPr>
      </w:pPr>
      <w:r>
        <w:rPr>
          <w:rFonts w:hint="eastAsia" w:ascii="宋体" w:hAnsi="宋体" w:cs="宋体"/>
          <w:szCs w:val="21"/>
        </w:rPr>
        <w:t>9.2.12 下列工程应编制专项施工方案：。其中应组织专家论证和审查。</w:t>
      </w:r>
    </w:p>
    <w:p>
      <w:pPr>
        <w:spacing w:line="400" w:lineRule="exact"/>
        <w:rPr>
          <w:rFonts w:ascii="宋体" w:hAnsi="宋体" w:cs="宋体"/>
          <w:szCs w:val="21"/>
        </w:rPr>
      </w:pPr>
      <w:bookmarkStart w:id="364" w:name="_Toc24208"/>
      <w:bookmarkStart w:id="365" w:name="_Toc11692"/>
      <w:r>
        <w:rPr>
          <w:rFonts w:hint="eastAsia" w:ascii="宋体" w:hAnsi="宋体" w:cs="宋体"/>
          <w:szCs w:val="21"/>
        </w:rPr>
        <w:t>9.7 文明工地</w:t>
      </w:r>
      <w:bookmarkEnd w:id="364"/>
      <w:bookmarkEnd w:id="365"/>
    </w:p>
    <w:p>
      <w:pPr>
        <w:spacing w:line="400" w:lineRule="exact"/>
        <w:ind w:right="248" w:firstLine="480"/>
        <w:rPr>
          <w:rFonts w:ascii="宋体" w:hAnsi="宋体" w:cs="宋体"/>
          <w:szCs w:val="21"/>
        </w:rPr>
      </w:pPr>
      <w:r>
        <w:rPr>
          <w:rFonts w:hint="eastAsia" w:ascii="宋体" w:hAnsi="宋体" w:cs="宋体"/>
          <w:szCs w:val="21"/>
        </w:rPr>
        <w:t>9.7.1 本合同文明工地的约定：。</w:t>
      </w:r>
    </w:p>
    <w:p>
      <w:pPr>
        <w:keepNext/>
        <w:keepLines/>
        <w:spacing w:line="400" w:lineRule="exact"/>
        <w:outlineLvl w:val="3"/>
        <w:rPr>
          <w:rFonts w:ascii="宋体" w:hAnsi="宋体" w:cs="宋体"/>
          <w:szCs w:val="21"/>
        </w:rPr>
      </w:pPr>
      <w:bookmarkStart w:id="366" w:name="_Toc222029536"/>
      <w:bookmarkStart w:id="367" w:name="_Toc222031038"/>
      <w:bookmarkStart w:id="368" w:name="_Toc222033887"/>
      <w:bookmarkStart w:id="369" w:name="_Toc221951188"/>
      <w:bookmarkStart w:id="370" w:name="_Toc229305394"/>
      <w:bookmarkStart w:id="371" w:name="_Toc222032705"/>
      <w:bookmarkStart w:id="372" w:name="_Toc20388"/>
      <w:bookmarkStart w:id="373" w:name="_Toc21607"/>
      <w:bookmarkStart w:id="374" w:name="_Toc26374"/>
      <w:bookmarkStart w:id="375" w:name="_Toc24727"/>
      <w:bookmarkStart w:id="376" w:name="_Toc23562"/>
      <w:bookmarkStart w:id="377" w:name="_Toc7955"/>
      <w:bookmarkStart w:id="378" w:name="_Toc29626"/>
      <w:bookmarkStart w:id="379" w:name="_Toc40390807"/>
      <w:bookmarkStart w:id="380" w:name="_Toc259524383"/>
      <w:r>
        <w:rPr>
          <w:rFonts w:hint="eastAsia" w:ascii="宋体" w:hAnsi="宋体" w:cs="宋体"/>
          <w:szCs w:val="21"/>
        </w:rPr>
        <w:t>10  开工和竣工</w:t>
      </w:r>
      <w:bookmarkEnd w:id="366"/>
      <w:bookmarkEnd w:id="367"/>
      <w:bookmarkEnd w:id="368"/>
      <w:bookmarkEnd w:id="369"/>
      <w:bookmarkEnd w:id="370"/>
      <w:bookmarkEnd w:id="371"/>
      <w:r>
        <w:rPr>
          <w:rFonts w:hint="eastAsia" w:ascii="宋体" w:hAnsi="宋体" w:cs="宋体"/>
          <w:szCs w:val="21"/>
        </w:rPr>
        <w:t>（完工）</w:t>
      </w:r>
      <w:bookmarkEnd w:id="372"/>
      <w:bookmarkEnd w:id="373"/>
      <w:bookmarkEnd w:id="374"/>
      <w:bookmarkEnd w:id="375"/>
      <w:bookmarkEnd w:id="376"/>
      <w:bookmarkEnd w:id="377"/>
      <w:bookmarkEnd w:id="378"/>
      <w:bookmarkEnd w:id="379"/>
      <w:bookmarkEnd w:id="380"/>
    </w:p>
    <w:p>
      <w:pPr>
        <w:spacing w:line="400" w:lineRule="exact"/>
        <w:rPr>
          <w:rFonts w:ascii="宋体" w:hAnsi="宋体" w:cs="宋体"/>
          <w:szCs w:val="21"/>
        </w:rPr>
      </w:pPr>
      <w:bookmarkStart w:id="381" w:name="_Toc26684"/>
      <w:bookmarkStart w:id="382" w:name="_Toc221951189"/>
      <w:bookmarkStart w:id="383" w:name="_Toc22942"/>
      <w:r>
        <w:rPr>
          <w:rFonts w:hint="eastAsia" w:ascii="宋体" w:hAnsi="宋体" w:cs="宋体"/>
          <w:szCs w:val="21"/>
        </w:rPr>
        <w:t>10.4  异常恶劣的气候条件</w:t>
      </w:r>
      <w:bookmarkEnd w:id="381"/>
      <w:bookmarkEnd w:id="382"/>
      <w:bookmarkEnd w:id="383"/>
    </w:p>
    <w:p>
      <w:pPr>
        <w:spacing w:line="400" w:lineRule="exact"/>
        <w:ind w:right="248" w:firstLine="480"/>
        <w:rPr>
          <w:rFonts w:ascii="宋体" w:hAnsi="宋体" w:cs="宋体"/>
          <w:szCs w:val="21"/>
        </w:rPr>
      </w:pPr>
      <w:bookmarkStart w:id="384" w:name="_Toc221951191"/>
      <w:r>
        <w:rPr>
          <w:rFonts w:hint="eastAsia" w:ascii="宋体" w:hAnsi="宋体" w:cs="宋体"/>
          <w:szCs w:val="21"/>
        </w:rPr>
        <w:t>10.4.3  本合同工程界定异常恶劣气候条件的范围为：</w:t>
      </w:r>
      <w:bookmarkEnd w:id="384"/>
    </w:p>
    <w:p>
      <w:pPr>
        <w:spacing w:line="400" w:lineRule="exact"/>
        <w:ind w:right="248" w:firstLine="480"/>
        <w:rPr>
          <w:rFonts w:ascii="宋体" w:hAnsi="宋体" w:cs="宋体"/>
          <w:szCs w:val="21"/>
        </w:rPr>
      </w:pPr>
      <w:bookmarkStart w:id="385" w:name="_Toc221951192"/>
      <w:r>
        <w:rPr>
          <w:rFonts w:hint="eastAsia" w:ascii="宋体" w:hAnsi="宋体" w:cs="宋体"/>
          <w:szCs w:val="21"/>
        </w:rPr>
        <w:t>（1）日降雨量大于㎜的雨日超过天； `</w:t>
      </w:r>
      <w:bookmarkEnd w:id="385"/>
    </w:p>
    <w:p>
      <w:pPr>
        <w:spacing w:line="400" w:lineRule="exact"/>
        <w:ind w:right="248" w:firstLine="480"/>
        <w:rPr>
          <w:rFonts w:ascii="宋体" w:hAnsi="宋体" w:cs="宋体"/>
          <w:szCs w:val="21"/>
        </w:rPr>
      </w:pPr>
      <w:bookmarkStart w:id="386" w:name="_Toc221951193"/>
      <w:r>
        <w:rPr>
          <w:rFonts w:hint="eastAsia" w:ascii="宋体" w:hAnsi="宋体" w:cs="宋体"/>
          <w:szCs w:val="21"/>
        </w:rPr>
        <w:t>（2）风速大于m/s的级以上台风灾害；</w:t>
      </w:r>
      <w:bookmarkEnd w:id="386"/>
    </w:p>
    <w:p>
      <w:pPr>
        <w:spacing w:line="400" w:lineRule="exact"/>
        <w:ind w:right="248" w:firstLine="480"/>
        <w:rPr>
          <w:rFonts w:ascii="宋体" w:hAnsi="宋体" w:cs="宋体"/>
          <w:szCs w:val="21"/>
        </w:rPr>
      </w:pPr>
      <w:bookmarkStart w:id="387" w:name="_Toc221951194"/>
      <w:r>
        <w:rPr>
          <w:rFonts w:hint="eastAsia" w:ascii="宋体" w:hAnsi="宋体" w:cs="宋体"/>
          <w:szCs w:val="21"/>
        </w:rPr>
        <w:t>（3）</w:t>
      </w:r>
      <w:bookmarkEnd w:id="387"/>
      <w:r>
        <w:rPr>
          <w:rFonts w:hint="eastAsia" w:ascii="宋体" w:hAnsi="宋体" w:cs="宋体"/>
          <w:szCs w:val="21"/>
        </w:rPr>
        <w:t>日气温超过℃的高温大于天；</w:t>
      </w:r>
    </w:p>
    <w:p>
      <w:pPr>
        <w:spacing w:line="400" w:lineRule="exact"/>
        <w:ind w:right="248" w:firstLine="480"/>
        <w:rPr>
          <w:rFonts w:ascii="宋体" w:hAnsi="宋体" w:cs="宋体"/>
          <w:szCs w:val="21"/>
        </w:rPr>
      </w:pPr>
      <w:bookmarkStart w:id="388" w:name="_Toc221951195"/>
      <w:r>
        <w:rPr>
          <w:rFonts w:hint="eastAsia" w:ascii="宋体" w:hAnsi="宋体" w:cs="宋体"/>
          <w:szCs w:val="21"/>
        </w:rPr>
        <w:t>（4）</w:t>
      </w:r>
      <w:bookmarkEnd w:id="388"/>
      <w:r>
        <w:rPr>
          <w:rFonts w:hint="eastAsia" w:ascii="宋体" w:hAnsi="宋体" w:cs="宋体"/>
          <w:szCs w:val="21"/>
        </w:rPr>
        <w:t>日气温低于℃的严寒大于天。</w:t>
      </w:r>
    </w:p>
    <w:p>
      <w:pPr>
        <w:spacing w:line="400" w:lineRule="exact"/>
        <w:ind w:right="248" w:firstLine="480"/>
        <w:rPr>
          <w:rFonts w:ascii="宋体" w:hAnsi="宋体" w:cs="宋体"/>
          <w:szCs w:val="21"/>
        </w:rPr>
      </w:pPr>
      <w:bookmarkStart w:id="389" w:name="_Toc221951196"/>
      <w:r>
        <w:rPr>
          <w:rFonts w:hint="eastAsia" w:ascii="宋体" w:hAnsi="宋体" w:cs="宋体"/>
          <w:szCs w:val="21"/>
        </w:rPr>
        <w:t>（5）</w:t>
      </w:r>
      <w:bookmarkEnd w:id="389"/>
      <w:r>
        <w:rPr>
          <w:rFonts w:hint="eastAsia" w:ascii="宋体" w:hAnsi="宋体" w:cs="宋体"/>
          <w:szCs w:val="21"/>
        </w:rPr>
        <w:t>造成工程损坏的冰雹和大雪灾害：                。</w:t>
      </w:r>
    </w:p>
    <w:p>
      <w:pPr>
        <w:spacing w:line="400" w:lineRule="exact"/>
        <w:ind w:right="248" w:firstLine="480"/>
        <w:rPr>
          <w:rFonts w:ascii="宋体" w:hAnsi="宋体" w:cs="宋体"/>
          <w:szCs w:val="21"/>
        </w:rPr>
      </w:pPr>
      <w:bookmarkStart w:id="390" w:name="_Toc221951197"/>
      <w:r>
        <w:rPr>
          <w:rFonts w:hint="eastAsia" w:ascii="宋体" w:hAnsi="宋体" w:cs="宋体"/>
          <w:szCs w:val="21"/>
        </w:rPr>
        <w:t>（6）其他异常恶劣气候灾害。</w:t>
      </w:r>
      <w:bookmarkEnd w:id="390"/>
    </w:p>
    <w:p>
      <w:pPr>
        <w:spacing w:line="400" w:lineRule="exact"/>
        <w:rPr>
          <w:rFonts w:ascii="宋体" w:hAnsi="宋体" w:cs="宋体"/>
          <w:szCs w:val="21"/>
        </w:rPr>
      </w:pPr>
      <w:bookmarkStart w:id="391" w:name="_Toc22184"/>
      <w:bookmarkStart w:id="392" w:name="_Toc17437"/>
      <w:bookmarkStart w:id="393" w:name="_Toc221951198"/>
      <w:r>
        <w:rPr>
          <w:rFonts w:hint="eastAsia" w:ascii="宋体" w:hAnsi="宋体" w:cs="宋体"/>
          <w:szCs w:val="21"/>
        </w:rPr>
        <w:t>10.5  承包人工期延误</w:t>
      </w:r>
      <w:bookmarkEnd w:id="391"/>
      <w:bookmarkEnd w:id="392"/>
      <w:bookmarkEnd w:id="393"/>
    </w:p>
    <w:p>
      <w:pPr>
        <w:spacing w:line="400" w:lineRule="exact"/>
        <w:ind w:right="248" w:firstLine="420" w:firstLineChars="200"/>
        <w:rPr>
          <w:rFonts w:ascii="宋体" w:hAnsi="宋体" w:cs="宋体"/>
          <w:color w:val="000000"/>
          <w:szCs w:val="21"/>
        </w:rPr>
      </w:pPr>
      <w:bookmarkStart w:id="394" w:name="_Toc221951200"/>
      <w:r>
        <w:rPr>
          <w:rFonts w:hint="eastAsia" w:ascii="宋体" w:hAnsi="宋体" w:cs="宋体"/>
          <w:color w:val="000000"/>
          <w:szCs w:val="21"/>
        </w:rPr>
        <w:t>（1）逾期竣工违约金表(参考格式)</w:t>
      </w:r>
      <w:bookmarkEnd w:id="394"/>
    </w:p>
    <w:tbl>
      <w:tblPr>
        <w:tblStyle w:val="11"/>
        <w:tblW w:w="0" w:type="auto"/>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75"/>
        <w:gridCol w:w="1995"/>
        <w:gridCol w:w="1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400" w:lineRule="exact"/>
              <w:ind w:right="-3"/>
              <w:jc w:val="center"/>
              <w:rPr>
                <w:rFonts w:ascii="宋体" w:hAnsi="宋体" w:cs="宋体"/>
                <w:color w:val="000000"/>
                <w:szCs w:val="21"/>
              </w:rPr>
            </w:pPr>
            <w:bookmarkStart w:id="395" w:name="_Toc221951201"/>
            <w:r>
              <w:rPr>
                <w:rFonts w:hint="eastAsia" w:ascii="宋体" w:hAnsi="宋体" w:cs="宋体"/>
                <w:color w:val="000000"/>
                <w:szCs w:val="21"/>
              </w:rPr>
              <w:t>序号</w:t>
            </w:r>
            <w:bookmarkEnd w:id="395"/>
          </w:p>
        </w:tc>
        <w:tc>
          <w:tcPr>
            <w:tcW w:w="3675" w:type="dxa"/>
            <w:vAlign w:val="center"/>
          </w:tcPr>
          <w:p>
            <w:pPr>
              <w:spacing w:line="400" w:lineRule="exact"/>
              <w:ind w:right="3"/>
              <w:jc w:val="center"/>
              <w:rPr>
                <w:rFonts w:ascii="宋体" w:hAnsi="宋体" w:cs="宋体"/>
                <w:color w:val="000000"/>
                <w:szCs w:val="21"/>
              </w:rPr>
            </w:pPr>
            <w:bookmarkStart w:id="396" w:name="_Toc221951202"/>
            <w:r>
              <w:rPr>
                <w:rFonts w:hint="eastAsia" w:ascii="宋体" w:hAnsi="宋体" w:cs="宋体"/>
                <w:color w:val="000000"/>
                <w:szCs w:val="21"/>
              </w:rPr>
              <w:t>项目及其说明</w:t>
            </w:r>
            <w:bookmarkEnd w:id="396"/>
          </w:p>
        </w:tc>
        <w:tc>
          <w:tcPr>
            <w:tcW w:w="1995" w:type="dxa"/>
            <w:vAlign w:val="center"/>
          </w:tcPr>
          <w:p>
            <w:pPr>
              <w:spacing w:line="400" w:lineRule="exact"/>
              <w:ind w:right="9"/>
              <w:jc w:val="center"/>
              <w:rPr>
                <w:rFonts w:ascii="宋体" w:hAnsi="宋体" w:cs="宋体"/>
                <w:color w:val="000000"/>
                <w:szCs w:val="21"/>
              </w:rPr>
            </w:pPr>
            <w:bookmarkStart w:id="397" w:name="_Toc221951203"/>
            <w:r>
              <w:rPr>
                <w:rFonts w:hint="eastAsia" w:ascii="宋体" w:hAnsi="宋体" w:cs="宋体"/>
                <w:color w:val="000000"/>
                <w:szCs w:val="21"/>
              </w:rPr>
              <w:t>要求竣工日期</w:t>
            </w:r>
            <w:bookmarkEnd w:id="397"/>
          </w:p>
        </w:tc>
        <w:tc>
          <w:tcPr>
            <w:tcW w:w="1995" w:type="dxa"/>
          </w:tcPr>
          <w:p>
            <w:pPr>
              <w:spacing w:line="400" w:lineRule="exact"/>
              <w:ind w:right="9"/>
              <w:jc w:val="center"/>
              <w:rPr>
                <w:rFonts w:ascii="宋体" w:hAnsi="宋体" w:cs="宋体"/>
                <w:color w:val="000000"/>
                <w:szCs w:val="21"/>
              </w:rPr>
            </w:pPr>
            <w:bookmarkStart w:id="398" w:name="_Toc221951204"/>
            <w:r>
              <w:rPr>
                <w:rFonts w:hint="eastAsia" w:ascii="宋体" w:hAnsi="宋体" w:cs="宋体"/>
                <w:color w:val="000000"/>
                <w:szCs w:val="21"/>
              </w:rPr>
              <w:t>违约金(元/天)</w:t>
            </w:r>
            <w:bookmarkEnd w:id="39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400" w:lineRule="exact"/>
              <w:ind w:right="248"/>
              <w:jc w:val="center"/>
              <w:rPr>
                <w:rFonts w:ascii="宋体" w:hAnsi="宋体" w:cs="宋体"/>
                <w:color w:val="000000"/>
                <w:szCs w:val="21"/>
              </w:rPr>
            </w:pPr>
          </w:p>
        </w:tc>
        <w:tc>
          <w:tcPr>
            <w:tcW w:w="3675" w:type="dxa"/>
            <w:vAlign w:val="center"/>
          </w:tcPr>
          <w:p>
            <w:pPr>
              <w:spacing w:line="400" w:lineRule="exact"/>
              <w:ind w:right="248"/>
              <w:jc w:val="center"/>
              <w:rPr>
                <w:rFonts w:ascii="宋体" w:hAnsi="宋体" w:cs="宋体"/>
                <w:color w:val="000000"/>
                <w:szCs w:val="21"/>
              </w:rPr>
            </w:pPr>
          </w:p>
        </w:tc>
        <w:tc>
          <w:tcPr>
            <w:tcW w:w="1995" w:type="dxa"/>
            <w:vAlign w:val="center"/>
          </w:tcPr>
          <w:p>
            <w:pPr>
              <w:spacing w:line="400" w:lineRule="exact"/>
              <w:ind w:right="248"/>
              <w:jc w:val="center"/>
              <w:rPr>
                <w:rFonts w:ascii="宋体" w:hAnsi="宋体" w:cs="宋体"/>
                <w:color w:val="000000"/>
                <w:szCs w:val="21"/>
              </w:rPr>
            </w:pPr>
          </w:p>
        </w:tc>
        <w:tc>
          <w:tcPr>
            <w:tcW w:w="1995" w:type="dxa"/>
          </w:tcPr>
          <w:p>
            <w:pPr>
              <w:spacing w:line="400" w:lineRule="exact"/>
              <w:ind w:right="248"/>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400" w:lineRule="exact"/>
              <w:ind w:right="248"/>
              <w:jc w:val="center"/>
              <w:rPr>
                <w:rFonts w:ascii="宋体" w:hAnsi="宋体" w:cs="宋体"/>
                <w:color w:val="000000"/>
                <w:szCs w:val="21"/>
              </w:rPr>
            </w:pPr>
          </w:p>
        </w:tc>
        <w:tc>
          <w:tcPr>
            <w:tcW w:w="3675" w:type="dxa"/>
            <w:vAlign w:val="center"/>
          </w:tcPr>
          <w:p>
            <w:pPr>
              <w:spacing w:line="400" w:lineRule="exact"/>
              <w:ind w:right="248"/>
              <w:jc w:val="center"/>
              <w:rPr>
                <w:rFonts w:ascii="宋体" w:hAnsi="宋体" w:cs="宋体"/>
                <w:color w:val="000000"/>
                <w:szCs w:val="21"/>
              </w:rPr>
            </w:pPr>
          </w:p>
        </w:tc>
        <w:tc>
          <w:tcPr>
            <w:tcW w:w="1995" w:type="dxa"/>
            <w:vAlign w:val="center"/>
          </w:tcPr>
          <w:p>
            <w:pPr>
              <w:spacing w:line="400" w:lineRule="exact"/>
              <w:ind w:right="248"/>
              <w:jc w:val="center"/>
              <w:rPr>
                <w:rFonts w:ascii="宋体" w:hAnsi="宋体" w:cs="宋体"/>
                <w:color w:val="000000"/>
                <w:szCs w:val="21"/>
              </w:rPr>
            </w:pPr>
          </w:p>
        </w:tc>
        <w:tc>
          <w:tcPr>
            <w:tcW w:w="1995" w:type="dxa"/>
          </w:tcPr>
          <w:p>
            <w:pPr>
              <w:spacing w:line="400" w:lineRule="exact"/>
              <w:ind w:right="248"/>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400" w:lineRule="exact"/>
              <w:ind w:right="248"/>
              <w:jc w:val="center"/>
              <w:rPr>
                <w:rFonts w:ascii="宋体" w:hAnsi="宋体" w:cs="宋体"/>
                <w:color w:val="000000"/>
                <w:szCs w:val="21"/>
              </w:rPr>
            </w:pPr>
          </w:p>
        </w:tc>
        <w:tc>
          <w:tcPr>
            <w:tcW w:w="3675" w:type="dxa"/>
            <w:vAlign w:val="center"/>
          </w:tcPr>
          <w:p>
            <w:pPr>
              <w:spacing w:line="400" w:lineRule="exact"/>
              <w:ind w:right="248"/>
              <w:jc w:val="center"/>
              <w:rPr>
                <w:rFonts w:ascii="宋体" w:hAnsi="宋体" w:cs="宋体"/>
                <w:color w:val="000000"/>
                <w:szCs w:val="21"/>
              </w:rPr>
            </w:pPr>
          </w:p>
        </w:tc>
        <w:tc>
          <w:tcPr>
            <w:tcW w:w="1995" w:type="dxa"/>
            <w:vAlign w:val="center"/>
          </w:tcPr>
          <w:p>
            <w:pPr>
              <w:spacing w:line="400" w:lineRule="exact"/>
              <w:ind w:right="248"/>
              <w:jc w:val="center"/>
              <w:rPr>
                <w:rFonts w:ascii="宋体" w:hAnsi="宋体" w:cs="宋体"/>
                <w:color w:val="000000"/>
                <w:szCs w:val="21"/>
              </w:rPr>
            </w:pPr>
          </w:p>
        </w:tc>
        <w:tc>
          <w:tcPr>
            <w:tcW w:w="1995" w:type="dxa"/>
          </w:tcPr>
          <w:p>
            <w:pPr>
              <w:spacing w:line="400" w:lineRule="exact"/>
              <w:ind w:right="248"/>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400" w:lineRule="exact"/>
              <w:ind w:right="248"/>
              <w:jc w:val="center"/>
              <w:rPr>
                <w:rFonts w:ascii="宋体" w:hAnsi="宋体" w:cs="宋体"/>
                <w:color w:val="000000"/>
                <w:szCs w:val="21"/>
              </w:rPr>
            </w:pPr>
          </w:p>
        </w:tc>
        <w:tc>
          <w:tcPr>
            <w:tcW w:w="3675" w:type="dxa"/>
            <w:vAlign w:val="center"/>
          </w:tcPr>
          <w:p>
            <w:pPr>
              <w:spacing w:line="400" w:lineRule="exact"/>
              <w:ind w:right="248"/>
              <w:jc w:val="center"/>
              <w:rPr>
                <w:rFonts w:ascii="宋体" w:hAnsi="宋体" w:cs="宋体"/>
                <w:color w:val="000000"/>
                <w:szCs w:val="21"/>
              </w:rPr>
            </w:pPr>
          </w:p>
        </w:tc>
        <w:tc>
          <w:tcPr>
            <w:tcW w:w="1995" w:type="dxa"/>
            <w:vAlign w:val="center"/>
          </w:tcPr>
          <w:p>
            <w:pPr>
              <w:spacing w:line="400" w:lineRule="exact"/>
              <w:ind w:right="248"/>
              <w:jc w:val="center"/>
              <w:rPr>
                <w:rFonts w:ascii="宋体" w:hAnsi="宋体" w:cs="宋体"/>
                <w:color w:val="000000"/>
                <w:szCs w:val="21"/>
              </w:rPr>
            </w:pPr>
          </w:p>
        </w:tc>
        <w:tc>
          <w:tcPr>
            <w:tcW w:w="1995" w:type="dxa"/>
          </w:tcPr>
          <w:p>
            <w:pPr>
              <w:spacing w:line="400" w:lineRule="exact"/>
              <w:ind w:right="248"/>
              <w:jc w:val="center"/>
              <w:rPr>
                <w:rFonts w:ascii="宋体" w:hAnsi="宋体" w:cs="宋体"/>
                <w:color w:val="000000"/>
                <w:szCs w:val="21"/>
              </w:rPr>
            </w:pPr>
          </w:p>
        </w:tc>
      </w:tr>
    </w:tbl>
    <w:p>
      <w:pPr>
        <w:spacing w:line="400" w:lineRule="exact"/>
        <w:ind w:right="248" w:firstLine="420" w:firstLineChars="200"/>
        <w:rPr>
          <w:rFonts w:ascii="宋体" w:hAnsi="宋体" w:cs="宋体"/>
          <w:color w:val="000000"/>
          <w:szCs w:val="21"/>
        </w:rPr>
      </w:pPr>
      <w:bookmarkStart w:id="399" w:name="_Toc221951205"/>
      <w:r>
        <w:rPr>
          <w:rFonts w:hint="eastAsia" w:ascii="宋体" w:hAnsi="宋体" w:cs="宋体"/>
          <w:color w:val="000000"/>
          <w:szCs w:val="21"/>
        </w:rPr>
        <w:t>（2）全部逾期竣工违约金的总限额为</w:t>
      </w:r>
      <w:r>
        <w:rPr>
          <w:rFonts w:hint="eastAsia" w:ascii="宋体" w:hAnsi="宋体" w:cs="宋体"/>
          <w:color w:val="000000"/>
          <w:szCs w:val="21"/>
          <w:u w:val="single"/>
        </w:rPr>
        <w:t xml:space="preserve">  （不超过合同总价的  %） </w:t>
      </w:r>
      <w:r>
        <w:rPr>
          <w:rFonts w:hint="eastAsia" w:ascii="宋体" w:hAnsi="宋体" w:cs="宋体"/>
          <w:color w:val="000000"/>
          <w:szCs w:val="21"/>
        </w:rPr>
        <w:t>。</w:t>
      </w:r>
      <w:bookmarkEnd w:id="399"/>
    </w:p>
    <w:p>
      <w:pPr>
        <w:spacing w:line="400" w:lineRule="exact"/>
        <w:rPr>
          <w:rFonts w:ascii="宋体" w:hAnsi="宋体" w:cs="宋体"/>
          <w:szCs w:val="21"/>
        </w:rPr>
      </w:pPr>
      <w:bookmarkStart w:id="400" w:name="_Toc7176"/>
      <w:bookmarkStart w:id="401" w:name="_Toc14041"/>
      <w:r>
        <w:rPr>
          <w:rFonts w:hint="eastAsia" w:ascii="宋体" w:hAnsi="宋体" w:cs="宋体"/>
          <w:szCs w:val="21"/>
        </w:rPr>
        <w:t>10.6 工期提前</w:t>
      </w:r>
      <w:bookmarkEnd w:id="400"/>
      <w:bookmarkEnd w:id="401"/>
    </w:p>
    <w:p>
      <w:pPr>
        <w:spacing w:line="400" w:lineRule="exact"/>
        <w:ind w:right="248" w:firstLine="480"/>
        <w:rPr>
          <w:rFonts w:ascii="宋体" w:hAnsi="宋体" w:cs="宋体"/>
          <w:szCs w:val="21"/>
        </w:rPr>
      </w:pPr>
      <w:r>
        <w:rPr>
          <w:rFonts w:hint="eastAsia" w:ascii="宋体" w:hAnsi="宋体" w:cs="宋体"/>
          <w:szCs w:val="21"/>
        </w:rPr>
        <w:t>工期提前的奖金约定：。</w:t>
      </w:r>
    </w:p>
    <w:p>
      <w:pPr>
        <w:keepNext/>
        <w:keepLines/>
        <w:spacing w:line="400" w:lineRule="exact"/>
        <w:outlineLvl w:val="3"/>
        <w:rPr>
          <w:rFonts w:ascii="宋体" w:hAnsi="宋体" w:cs="宋体"/>
          <w:szCs w:val="21"/>
        </w:rPr>
      </w:pPr>
      <w:bookmarkStart w:id="402" w:name="_Toc29076"/>
      <w:bookmarkStart w:id="403" w:name="_Toc221951206"/>
      <w:bookmarkStart w:id="404" w:name="_Toc1014"/>
      <w:bookmarkStart w:id="405" w:name="_Toc8520"/>
      <w:bookmarkStart w:id="406" w:name="_Toc31887"/>
      <w:bookmarkStart w:id="407" w:name="_Toc222031039"/>
      <w:bookmarkStart w:id="408" w:name="_Toc222032706"/>
      <w:bookmarkStart w:id="409" w:name="_Toc40390808"/>
      <w:bookmarkStart w:id="410" w:name="_Toc229305395"/>
      <w:bookmarkStart w:id="411" w:name="_Toc222029537"/>
      <w:bookmarkStart w:id="412" w:name="_Toc18771"/>
      <w:bookmarkStart w:id="413" w:name="_Toc8676"/>
      <w:bookmarkStart w:id="414" w:name="_Toc22231"/>
      <w:bookmarkStart w:id="415" w:name="_Toc222033888"/>
      <w:bookmarkStart w:id="416" w:name="_Toc259524384"/>
      <w:r>
        <w:rPr>
          <w:rFonts w:hint="eastAsia" w:ascii="宋体" w:hAnsi="宋体" w:cs="宋体"/>
          <w:szCs w:val="21"/>
        </w:rPr>
        <w:t>11  暂停施工</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spacing w:line="400" w:lineRule="exact"/>
        <w:rPr>
          <w:rFonts w:ascii="宋体" w:hAnsi="宋体" w:cs="宋体"/>
          <w:szCs w:val="21"/>
        </w:rPr>
      </w:pPr>
      <w:bookmarkStart w:id="417" w:name="_Toc24920"/>
      <w:bookmarkStart w:id="418" w:name="_Toc20006"/>
      <w:bookmarkStart w:id="419" w:name="_Toc221951207"/>
      <w:r>
        <w:rPr>
          <w:rFonts w:hint="eastAsia" w:ascii="宋体" w:hAnsi="宋体" w:cs="宋体"/>
          <w:szCs w:val="21"/>
        </w:rPr>
        <w:t>11.1  承包人暂停施工的责任</w:t>
      </w:r>
      <w:bookmarkEnd w:id="417"/>
      <w:bookmarkEnd w:id="418"/>
      <w:bookmarkEnd w:id="419"/>
    </w:p>
    <w:p>
      <w:pPr>
        <w:spacing w:line="400" w:lineRule="exact"/>
        <w:ind w:right="248" w:firstLine="480"/>
        <w:jc w:val="left"/>
        <w:rPr>
          <w:rFonts w:ascii="宋体" w:hAnsi="宋体" w:cs="宋体"/>
          <w:color w:val="000000"/>
          <w:szCs w:val="21"/>
        </w:rPr>
      </w:pPr>
      <w:bookmarkStart w:id="420" w:name="_Toc221951209"/>
      <w:r>
        <w:rPr>
          <w:rFonts w:hint="eastAsia" w:ascii="宋体" w:hAnsi="宋体" w:cs="宋体"/>
          <w:color w:val="000000"/>
          <w:szCs w:val="21"/>
        </w:rPr>
        <w:t xml:space="preserve"> (5) 承包人承担的其他暂停施工责任的其它形： 。</w:t>
      </w:r>
      <w:bookmarkEnd w:id="420"/>
    </w:p>
    <w:p>
      <w:pPr>
        <w:spacing w:line="400" w:lineRule="exact"/>
        <w:rPr>
          <w:rFonts w:ascii="宋体" w:hAnsi="宋体" w:cs="宋体"/>
          <w:szCs w:val="21"/>
        </w:rPr>
      </w:pPr>
      <w:bookmarkStart w:id="421" w:name="_Toc7033"/>
      <w:bookmarkStart w:id="422" w:name="_Toc8787"/>
      <w:r>
        <w:rPr>
          <w:rFonts w:hint="eastAsia" w:ascii="宋体" w:hAnsi="宋体" w:cs="宋体"/>
          <w:szCs w:val="21"/>
        </w:rPr>
        <w:t>11.2  发包人暂停施工的责任</w:t>
      </w:r>
      <w:bookmarkEnd w:id="421"/>
      <w:bookmarkEnd w:id="422"/>
    </w:p>
    <w:p>
      <w:pPr>
        <w:rPr>
          <w:rFonts w:ascii="宋体" w:hAnsi="宋体" w:cs="宋体"/>
          <w:szCs w:val="21"/>
        </w:rPr>
      </w:pPr>
      <w:r>
        <w:rPr>
          <w:rFonts w:hint="eastAsia" w:ascii="宋体" w:hAnsi="宋体" w:cs="宋体"/>
          <w:color w:val="000000"/>
          <w:szCs w:val="21"/>
        </w:rPr>
        <w:t xml:space="preserve">      (3) 发包人承担的其他暂停施工责任的其它情形：</w:t>
      </w:r>
      <w:r>
        <w:rPr>
          <w:rFonts w:hint="eastAsia" w:ascii="宋体" w:hAnsi="宋体" w:cs="宋体"/>
          <w:szCs w:val="21"/>
        </w:rPr>
        <w:t>。</w:t>
      </w:r>
    </w:p>
    <w:p>
      <w:pPr>
        <w:keepNext/>
        <w:keepLines/>
        <w:spacing w:line="400" w:lineRule="exact"/>
        <w:outlineLvl w:val="3"/>
        <w:rPr>
          <w:rFonts w:ascii="宋体" w:hAnsi="宋体" w:cs="宋体"/>
          <w:szCs w:val="21"/>
        </w:rPr>
      </w:pPr>
      <w:bookmarkStart w:id="423" w:name="_Toc40390809"/>
      <w:bookmarkStart w:id="424" w:name="_Toc19201"/>
      <w:bookmarkStart w:id="425" w:name="_Toc5384"/>
      <w:bookmarkStart w:id="426" w:name="_Toc7142"/>
      <w:bookmarkStart w:id="427" w:name="_Toc8319"/>
      <w:bookmarkStart w:id="428" w:name="_Toc18959"/>
      <w:bookmarkStart w:id="429" w:name="_Toc259524385"/>
      <w:bookmarkStart w:id="430" w:name="_Toc11879"/>
      <w:bookmarkStart w:id="431" w:name="_Toc22515"/>
      <w:r>
        <w:rPr>
          <w:rFonts w:hint="eastAsia" w:ascii="宋体" w:hAnsi="宋体" w:cs="宋体"/>
          <w:szCs w:val="21"/>
        </w:rPr>
        <w:t>12  工程质量</w:t>
      </w:r>
      <w:bookmarkEnd w:id="423"/>
      <w:bookmarkEnd w:id="424"/>
      <w:bookmarkEnd w:id="425"/>
      <w:bookmarkEnd w:id="426"/>
      <w:bookmarkEnd w:id="427"/>
      <w:bookmarkEnd w:id="428"/>
      <w:bookmarkEnd w:id="429"/>
      <w:bookmarkEnd w:id="430"/>
      <w:bookmarkEnd w:id="431"/>
    </w:p>
    <w:p>
      <w:pPr>
        <w:spacing w:line="400" w:lineRule="exact"/>
        <w:rPr>
          <w:rFonts w:ascii="宋体" w:hAnsi="宋体" w:cs="宋体"/>
          <w:szCs w:val="21"/>
        </w:rPr>
      </w:pPr>
      <w:bookmarkStart w:id="432" w:name="_Toc10437"/>
      <w:bookmarkStart w:id="433" w:name="_Toc24794"/>
      <w:r>
        <w:rPr>
          <w:rFonts w:hint="eastAsia" w:ascii="宋体" w:hAnsi="宋体" w:cs="宋体"/>
          <w:szCs w:val="21"/>
        </w:rPr>
        <w:t>12.7 质量评定</w:t>
      </w:r>
      <w:bookmarkEnd w:id="432"/>
      <w:bookmarkEnd w:id="433"/>
    </w:p>
    <w:p>
      <w:pPr>
        <w:spacing w:line="400" w:lineRule="exact"/>
        <w:rPr>
          <w:rFonts w:ascii="宋体" w:hAnsi="宋体" w:cs="宋体"/>
          <w:szCs w:val="21"/>
          <w:u w:val="single"/>
        </w:rPr>
      </w:pPr>
      <w:r>
        <w:rPr>
          <w:rFonts w:hint="eastAsia" w:ascii="宋体" w:hAnsi="宋体" w:cs="宋体"/>
          <w:szCs w:val="21"/>
        </w:rPr>
        <w:t>12.7.4 重要隐蔽单元工程和关键部位单元工程质量评定的约定：。</w:t>
      </w:r>
    </w:p>
    <w:p>
      <w:pPr>
        <w:spacing w:line="400" w:lineRule="exact"/>
        <w:rPr>
          <w:rFonts w:ascii="宋体" w:hAnsi="宋体" w:cs="宋体"/>
          <w:szCs w:val="21"/>
          <w:u w:val="single"/>
        </w:rPr>
      </w:pPr>
      <w:r>
        <w:rPr>
          <w:rFonts w:hint="eastAsia" w:ascii="宋体" w:hAnsi="宋体" w:cs="宋体"/>
          <w:szCs w:val="21"/>
        </w:rPr>
        <w:t>12.7.7 工程合格标准为：；优良标准为：。达到优良的奖金为：。</w:t>
      </w:r>
    </w:p>
    <w:p>
      <w:pPr>
        <w:spacing w:line="400" w:lineRule="exact"/>
        <w:rPr>
          <w:rFonts w:ascii="宋体" w:hAnsi="宋体" w:cs="宋体"/>
          <w:szCs w:val="21"/>
        </w:rPr>
      </w:pPr>
      <w:bookmarkStart w:id="434" w:name="_Toc13306"/>
      <w:bookmarkStart w:id="435" w:name="_Toc2326"/>
      <w:r>
        <w:rPr>
          <w:rFonts w:hint="eastAsia" w:ascii="宋体" w:hAnsi="宋体" w:cs="宋体"/>
          <w:szCs w:val="21"/>
        </w:rPr>
        <w:t>12.8 质量事故处理</w:t>
      </w:r>
      <w:bookmarkEnd w:id="434"/>
      <w:bookmarkEnd w:id="435"/>
    </w:p>
    <w:p>
      <w:pPr>
        <w:rPr>
          <w:rFonts w:ascii="宋体" w:hAnsi="宋体" w:cs="宋体"/>
          <w:szCs w:val="21"/>
        </w:rPr>
      </w:pPr>
      <w:r>
        <w:rPr>
          <w:rFonts w:hint="eastAsia" w:ascii="宋体" w:hAnsi="宋体" w:cs="宋体"/>
          <w:szCs w:val="21"/>
        </w:rPr>
        <w:t>12.8.4 工程竣工验收时，向竣工验收委员会汇报并提交历次质量缺陷处理的备案资料。</w:t>
      </w:r>
    </w:p>
    <w:p>
      <w:pPr>
        <w:keepNext/>
        <w:keepLines/>
        <w:spacing w:line="400" w:lineRule="exact"/>
        <w:outlineLvl w:val="3"/>
        <w:rPr>
          <w:rFonts w:ascii="宋体" w:hAnsi="宋体" w:cs="宋体"/>
          <w:szCs w:val="21"/>
        </w:rPr>
      </w:pPr>
      <w:bookmarkStart w:id="436" w:name="_Toc18800"/>
      <w:bookmarkStart w:id="437" w:name="_Toc259524386"/>
      <w:bookmarkStart w:id="438" w:name="_Toc10802"/>
      <w:bookmarkStart w:id="439" w:name="_Toc15253"/>
      <w:bookmarkStart w:id="440" w:name="_Toc13985"/>
      <w:bookmarkStart w:id="441" w:name="_Toc40390810"/>
      <w:bookmarkStart w:id="442" w:name="_Toc8442"/>
      <w:bookmarkStart w:id="443" w:name="_Toc24059"/>
      <w:bookmarkStart w:id="444" w:name="_Toc21133"/>
      <w:r>
        <w:rPr>
          <w:rFonts w:hint="eastAsia" w:ascii="宋体" w:hAnsi="宋体" w:cs="宋体"/>
          <w:szCs w:val="21"/>
        </w:rPr>
        <w:t>13  试验和检验</w:t>
      </w:r>
      <w:bookmarkEnd w:id="436"/>
      <w:bookmarkEnd w:id="437"/>
      <w:bookmarkEnd w:id="438"/>
      <w:bookmarkEnd w:id="439"/>
      <w:bookmarkEnd w:id="440"/>
      <w:bookmarkEnd w:id="441"/>
      <w:bookmarkEnd w:id="442"/>
      <w:bookmarkEnd w:id="443"/>
      <w:bookmarkEnd w:id="444"/>
    </w:p>
    <w:p>
      <w:pPr>
        <w:spacing w:line="400" w:lineRule="exact"/>
        <w:rPr>
          <w:rFonts w:ascii="宋体" w:hAnsi="宋体" w:cs="宋体"/>
          <w:szCs w:val="21"/>
        </w:rPr>
      </w:pPr>
      <w:bookmarkStart w:id="445" w:name="_Toc18182"/>
      <w:bookmarkStart w:id="446" w:name="_Toc18501"/>
      <w:r>
        <w:rPr>
          <w:rFonts w:hint="eastAsia" w:ascii="宋体" w:hAnsi="宋体" w:cs="宋体"/>
          <w:szCs w:val="21"/>
        </w:rPr>
        <w:t>13.1材料、工程设备和工程的试验和检验</w:t>
      </w:r>
      <w:bookmarkEnd w:id="445"/>
      <w:bookmarkEnd w:id="446"/>
    </w:p>
    <w:p>
      <w:pPr>
        <w:spacing w:line="400" w:lineRule="exact"/>
        <w:rPr>
          <w:rFonts w:ascii="宋体" w:hAnsi="宋体" w:cs="宋体"/>
          <w:szCs w:val="21"/>
          <w:u w:val="single"/>
        </w:rPr>
      </w:pPr>
      <w:r>
        <w:rPr>
          <w:rFonts w:hint="eastAsia" w:ascii="宋体" w:hAnsi="宋体" w:cs="宋体"/>
          <w:szCs w:val="21"/>
        </w:rPr>
        <w:t>13.1.5 水工金属结构、启闭机及机电产品进场后的交货检查和验收中，承包人负责。</w:t>
      </w:r>
    </w:p>
    <w:p>
      <w:pPr>
        <w:spacing w:line="400" w:lineRule="exact"/>
        <w:rPr>
          <w:rFonts w:ascii="宋体" w:hAnsi="宋体" w:cs="宋体"/>
          <w:szCs w:val="21"/>
        </w:rPr>
      </w:pPr>
      <w:r>
        <w:rPr>
          <w:rFonts w:hint="eastAsia" w:ascii="宋体" w:hAnsi="宋体" w:cs="宋体"/>
          <w:szCs w:val="21"/>
        </w:rPr>
        <w:t>13.1.6 本工程实行见证取样的试块、试件及有关材料：。</w:t>
      </w:r>
    </w:p>
    <w:p>
      <w:pPr>
        <w:keepNext/>
        <w:keepLines/>
        <w:spacing w:line="400" w:lineRule="exact"/>
        <w:outlineLvl w:val="3"/>
        <w:rPr>
          <w:rFonts w:ascii="宋体" w:hAnsi="宋体" w:cs="宋体"/>
          <w:szCs w:val="21"/>
        </w:rPr>
      </w:pPr>
      <w:bookmarkStart w:id="447" w:name="_Toc222029539"/>
      <w:bookmarkStart w:id="448" w:name="_Toc259524387"/>
      <w:bookmarkStart w:id="449" w:name="_Toc13348"/>
      <w:bookmarkStart w:id="450" w:name="_Toc222032708"/>
      <w:bookmarkStart w:id="451" w:name="_Toc222033890"/>
      <w:bookmarkStart w:id="452" w:name="_Toc221951213"/>
      <w:bookmarkStart w:id="453" w:name="_Toc32440"/>
      <w:bookmarkStart w:id="454" w:name="_Toc40390811"/>
      <w:bookmarkStart w:id="455" w:name="_Toc21894"/>
      <w:bookmarkStart w:id="456" w:name="_Toc229305396"/>
      <w:bookmarkStart w:id="457" w:name="_Toc1423"/>
      <w:bookmarkStart w:id="458" w:name="_Toc11921"/>
      <w:bookmarkStart w:id="459" w:name="_Toc6805"/>
      <w:bookmarkStart w:id="460" w:name="_Toc23936"/>
      <w:bookmarkStart w:id="461" w:name="_Toc222031041"/>
      <w:r>
        <w:rPr>
          <w:rFonts w:hint="eastAsia" w:ascii="宋体" w:hAnsi="宋体" w:cs="宋体"/>
          <w:szCs w:val="21"/>
        </w:rPr>
        <w:t>14  变更</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400" w:lineRule="exact"/>
        <w:rPr>
          <w:rFonts w:ascii="宋体" w:hAnsi="宋体" w:cs="宋体"/>
          <w:szCs w:val="21"/>
        </w:rPr>
      </w:pPr>
      <w:bookmarkStart w:id="462" w:name="_Toc221951214"/>
      <w:bookmarkStart w:id="463" w:name="_Toc14991"/>
      <w:bookmarkStart w:id="464" w:name="_Toc857"/>
      <w:r>
        <w:rPr>
          <w:rFonts w:hint="eastAsia" w:ascii="宋体" w:hAnsi="宋体" w:cs="宋体"/>
          <w:szCs w:val="21"/>
        </w:rPr>
        <w:t>14.1  变更的范围和内容</w:t>
      </w:r>
      <w:bookmarkEnd w:id="462"/>
      <w:bookmarkEnd w:id="463"/>
      <w:bookmarkEnd w:id="464"/>
    </w:p>
    <w:p>
      <w:pPr>
        <w:spacing w:line="400" w:lineRule="exact"/>
        <w:ind w:right="248" w:firstLine="480"/>
        <w:rPr>
          <w:rFonts w:ascii="宋体" w:hAnsi="宋体" w:cs="宋体"/>
          <w:color w:val="000000"/>
          <w:szCs w:val="21"/>
        </w:rPr>
      </w:pPr>
      <w:bookmarkStart w:id="465" w:name="_Toc221951216"/>
      <w:r>
        <w:rPr>
          <w:rFonts w:hint="eastAsia" w:ascii="宋体" w:hAnsi="宋体" w:cs="宋体"/>
          <w:color w:val="000000"/>
          <w:szCs w:val="21"/>
        </w:rPr>
        <w:t>（6）增加或减少合同中关键项目的工程量超过其项目工程总量的％。</w:t>
      </w:r>
      <w:bookmarkEnd w:id="465"/>
      <w:r>
        <w:rPr>
          <w:rFonts w:hint="eastAsia" w:ascii="宋体" w:hAnsi="宋体" w:cs="宋体"/>
          <w:color w:val="000000"/>
          <w:szCs w:val="21"/>
        </w:rPr>
        <w:t>关键项目：，单价调整方式：。</w:t>
      </w:r>
    </w:p>
    <w:p>
      <w:pPr>
        <w:spacing w:line="400" w:lineRule="exact"/>
        <w:rPr>
          <w:rFonts w:ascii="宋体" w:hAnsi="宋体" w:cs="宋体"/>
          <w:szCs w:val="21"/>
        </w:rPr>
      </w:pPr>
      <w:bookmarkStart w:id="466" w:name="_Toc7054"/>
      <w:bookmarkStart w:id="467" w:name="_Toc13434"/>
      <w:bookmarkStart w:id="468" w:name="_Toc221951218"/>
      <w:r>
        <w:rPr>
          <w:rFonts w:hint="eastAsia" w:ascii="宋体" w:hAnsi="宋体" w:cs="宋体"/>
          <w:szCs w:val="21"/>
        </w:rPr>
        <w:t>14.5承包人的合理化建议</w:t>
      </w:r>
      <w:bookmarkEnd w:id="466"/>
      <w:bookmarkEnd w:id="467"/>
    </w:p>
    <w:p>
      <w:pPr>
        <w:spacing w:line="400" w:lineRule="exact"/>
        <w:ind w:firstLine="420"/>
        <w:rPr>
          <w:rFonts w:ascii="宋体" w:hAnsi="宋体" w:cs="宋体"/>
          <w:szCs w:val="21"/>
        </w:rPr>
      </w:pPr>
      <w:r>
        <w:rPr>
          <w:rFonts w:hint="eastAsia" w:ascii="宋体" w:hAnsi="宋体" w:cs="宋体"/>
          <w:szCs w:val="21"/>
        </w:rPr>
        <w:t xml:space="preserve">14.5.2 </w:t>
      </w:r>
      <w:bookmarkEnd w:id="468"/>
      <w:bookmarkStart w:id="469" w:name="_Toc221951219"/>
      <w:r>
        <w:rPr>
          <w:rFonts w:hint="eastAsia" w:ascii="宋体" w:hAnsi="宋体" w:cs="宋体"/>
          <w:szCs w:val="21"/>
        </w:rPr>
        <w:t>承包人实现合理化建议的奖励金额为：</w:t>
      </w:r>
      <w:r>
        <w:rPr>
          <w:rFonts w:hint="eastAsia" w:ascii="宋体" w:hAnsi="宋体" w:cs="宋体"/>
          <w:szCs w:val="21"/>
          <w:u w:val="single"/>
        </w:rPr>
        <w:t xml:space="preserve">  （填写奖励额度</w:t>
      </w:r>
      <w:bookmarkEnd w:id="469"/>
      <w:bookmarkStart w:id="470" w:name="_Toc221951220"/>
      <w:r>
        <w:rPr>
          <w:rFonts w:hint="eastAsia" w:ascii="宋体" w:hAnsi="宋体" w:cs="宋体"/>
          <w:szCs w:val="21"/>
          <w:u w:val="single"/>
        </w:rPr>
        <w:t>）</w:t>
      </w:r>
      <w:r>
        <w:rPr>
          <w:rFonts w:hint="eastAsia" w:ascii="宋体" w:hAnsi="宋体" w:cs="宋体"/>
          <w:szCs w:val="21"/>
        </w:rPr>
        <w:t>。</w:t>
      </w:r>
      <w:bookmarkEnd w:id="470"/>
    </w:p>
    <w:p>
      <w:pPr>
        <w:spacing w:line="400" w:lineRule="exact"/>
        <w:rPr>
          <w:rFonts w:ascii="宋体" w:hAnsi="宋体" w:cs="宋体"/>
          <w:szCs w:val="21"/>
        </w:rPr>
      </w:pPr>
      <w:bookmarkStart w:id="471" w:name="_Toc23948"/>
      <w:bookmarkStart w:id="472" w:name="_Toc25785"/>
      <w:bookmarkStart w:id="473" w:name="_Toc221951221"/>
      <w:r>
        <w:rPr>
          <w:rFonts w:hint="eastAsia" w:ascii="宋体" w:hAnsi="宋体" w:cs="宋体"/>
          <w:szCs w:val="21"/>
        </w:rPr>
        <w:t>14.8  暂估价</w:t>
      </w:r>
      <w:bookmarkEnd w:id="471"/>
      <w:bookmarkEnd w:id="472"/>
      <w:bookmarkEnd w:id="473"/>
    </w:p>
    <w:p>
      <w:pPr>
        <w:spacing w:line="400" w:lineRule="exact"/>
        <w:rPr>
          <w:rFonts w:ascii="宋体" w:hAnsi="宋体" w:cs="宋体"/>
          <w:szCs w:val="21"/>
        </w:rPr>
      </w:pPr>
      <w:r>
        <w:rPr>
          <w:rFonts w:hint="eastAsia" w:ascii="宋体" w:hAnsi="宋体" w:cs="宋体"/>
          <w:szCs w:val="21"/>
        </w:rPr>
        <w:t>14.8.1 (l）发包人和承包人组织招标的暂估价项目：</w:t>
      </w:r>
      <w:r>
        <w:rPr>
          <w:rFonts w:hint="eastAsia" w:ascii="宋体" w:hAnsi="宋体" w:cs="宋体"/>
          <w:szCs w:val="21"/>
          <w:u w:val="single"/>
        </w:rPr>
        <w:t xml:space="preserve">    （签约后填入）  </w:t>
      </w:r>
      <w:r>
        <w:rPr>
          <w:rFonts w:hint="eastAsia" w:ascii="宋体" w:hAnsi="宋体" w:cs="宋体"/>
          <w:szCs w:val="21"/>
        </w:rPr>
        <w:t>；发包人组织招标的暂估价项目：</w:t>
      </w:r>
      <w:r>
        <w:rPr>
          <w:rFonts w:hint="eastAsia" w:ascii="宋体" w:hAnsi="宋体" w:cs="宋体"/>
          <w:szCs w:val="21"/>
          <w:u w:val="single"/>
        </w:rPr>
        <w:t xml:space="preserve">   （签约后填人）    </w:t>
      </w:r>
      <w:r>
        <w:rPr>
          <w:rFonts w:hint="eastAsia" w:ascii="宋体" w:hAnsi="宋体" w:cs="宋体"/>
          <w:szCs w:val="21"/>
        </w:rPr>
        <w:t>。</w:t>
      </w:r>
    </w:p>
    <w:p>
      <w:pPr>
        <w:spacing w:line="400" w:lineRule="exact"/>
        <w:ind w:firstLine="630" w:firstLineChars="300"/>
        <w:rPr>
          <w:rFonts w:ascii="宋体" w:hAnsi="宋体" w:cs="宋体"/>
          <w:szCs w:val="21"/>
        </w:rPr>
      </w:pPr>
      <w:r>
        <w:rPr>
          <w:rFonts w:hint="eastAsia" w:ascii="宋体" w:hAnsi="宋体" w:cs="宋体"/>
          <w:szCs w:val="21"/>
        </w:rPr>
        <w:t>（2）发包人和承包人以招标方式选择暂估价项目供应商或分包人时，双方的权利义务关系：。</w:t>
      </w:r>
    </w:p>
    <w:p>
      <w:pPr>
        <w:keepNext/>
        <w:keepLines/>
        <w:spacing w:line="400" w:lineRule="exact"/>
        <w:outlineLvl w:val="3"/>
        <w:rPr>
          <w:rFonts w:ascii="宋体" w:hAnsi="宋体" w:cs="宋体"/>
          <w:szCs w:val="21"/>
        </w:rPr>
      </w:pPr>
      <w:bookmarkStart w:id="474" w:name="_Toc1714"/>
      <w:bookmarkStart w:id="475" w:name="_Toc3217"/>
      <w:bookmarkStart w:id="476" w:name="_Toc40390812"/>
      <w:bookmarkStart w:id="477" w:name="_Toc5901"/>
      <w:bookmarkStart w:id="478" w:name="_Toc229305397"/>
      <w:bookmarkStart w:id="479" w:name="_Toc259524388"/>
      <w:bookmarkStart w:id="480" w:name="_Toc16821"/>
      <w:bookmarkStart w:id="481" w:name="_Toc14630"/>
      <w:bookmarkStart w:id="482" w:name="_Toc15579"/>
      <w:bookmarkStart w:id="483" w:name="_Toc22820"/>
      <w:r>
        <w:rPr>
          <w:rFonts w:hint="eastAsia" w:ascii="宋体" w:hAnsi="宋体" w:cs="宋体"/>
          <w:szCs w:val="21"/>
        </w:rPr>
        <w:t>15  价格调整</w:t>
      </w:r>
      <w:bookmarkEnd w:id="474"/>
      <w:bookmarkEnd w:id="475"/>
      <w:bookmarkEnd w:id="476"/>
      <w:bookmarkEnd w:id="477"/>
      <w:bookmarkEnd w:id="478"/>
      <w:bookmarkEnd w:id="479"/>
      <w:bookmarkEnd w:id="480"/>
      <w:bookmarkEnd w:id="481"/>
      <w:bookmarkEnd w:id="482"/>
      <w:bookmarkEnd w:id="483"/>
    </w:p>
    <w:p>
      <w:pPr>
        <w:spacing w:line="400" w:lineRule="exact"/>
        <w:rPr>
          <w:rFonts w:ascii="宋体" w:hAnsi="宋体" w:cs="宋体"/>
          <w:szCs w:val="21"/>
        </w:rPr>
      </w:pPr>
      <w:bookmarkStart w:id="484" w:name="_Toc15702"/>
      <w:bookmarkStart w:id="485" w:name="_Toc8844"/>
      <w:r>
        <w:rPr>
          <w:rFonts w:hint="eastAsia" w:ascii="宋体" w:hAnsi="宋体" w:cs="宋体"/>
          <w:szCs w:val="21"/>
        </w:rPr>
        <w:t>15.1 物价波动引起的价格调整</w:t>
      </w:r>
      <w:bookmarkEnd w:id="484"/>
      <w:bookmarkEnd w:id="485"/>
    </w:p>
    <w:p>
      <w:pPr>
        <w:spacing w:before="100" w:beforeAutospacing="1" w:after="120" w:line="400" w:lineRule="exact"/>
        <w:ind w:left="420" w:leftChars="200" w:right="248"/>
        <w:rPr>
          <w:rFonts w:ascii="宋体" w:hAnsi="宋体" w:cs="宋体"/>
          <w:szCs w:val="21"/>
        </w:rPr>
      </w:pPr>
      <w:r>
        <w:rPr>
          <w:rFonts w:hint="eastAsia" w:ascii="宋体" w:hAnsi="宋体" w:cs="宋体"/>
          <w:szCs w:val="21"/>
        </w:rPr>
        <w:t>物价波动引起的价格调整方式：。</w:t>
      </w:r>
    </w:p>
    <w:p>
      <w:pPr>
        <w:spacing w:before="100" w:beforeAutospacing="1" w:after="120" w:line="400" w:lineRule="exact"/>
        <w:ind w:left="420" w:leftChars="200" w:right="248"/>
        <w:rPr>
          <w:rFonts w:ascii="宋体" w:hAnsi="宋体" w:cs="宋体"/>
          <w:szCs w:val="21"/>
        </w:rPr>
      </w:pPr>
      <w:r>
        <w:rPr>
          <w:rFonts w:hint="eastAsia" w:ascii="宋体" w:hAnsi="宋体" w:cs="宋体"/>
          <w:szCs w:val="21"/>
        </w:rPr>
        <w:t>15.1.2采用造价信息调整价格差额</w:t>
      </w:r>
    </w:p>
    <w:p>
      <w:pPr>
        <w:spacing w:before="100" w:beforeAutospacing="1" w:after="120" w:line="400" w:lineRule="exact"/>
        <w:ind w:left="420" w:leftChars="200" w:right="248"/>
        <w:rPr>
          <w:rFonts w:ascii="宋体" w:hAnsi="宋体" w:cs="宋体"/>
          <w:color w:val="000000"/>
          <w:szCs w:val="21"/>
        </w:rPr>
      </w:pPr>
      <w:r>
        <w:rPr>
          <w:rFonts w:hint="eastAsia" w:ascii="宋体" w:hAnsi="宋体" w:cs="宋体"/>
          <w:szCs w:val="21"/>
        </w:rPr>
        <w:t>工程造价信息及其来源：</w:t>
      </w:r>
      <w:r>
        <w:rPr>
          <w:rFonts w:hint="eastAsia" w:ascii="宋体" w:hAnsi="宋体" w:cs="宋体"/>
          <w:color w:val="000000"/>
          <w:szCs w:val="21"/>
        </w:rPr>
        <w:t>。</w:t>
      </w:r>
    </w:p>
    <w:p>
      <w:pPr>
        <w:spacing w:before="100" w:beforeAutospacing="1" w:after="120" w:line="400" w:lineRule="exact"/>
        <w:ind w:left="420" w:leftChars="200" w:right="248"/>
        <w:rPr>
          <w:rFonts w:ascii="宋体" w:hAnsi="宋体" w:cs="宋体"/>
          <w:color w:val="000000"/>
          <w:szCs w:val="21"/>
        </w:rPr>
      </w:pPr>
      <w:r>
        <w:rPr>
          <w:rFonts w:hint="eastAsia" w:ascii="宋体" w:hAnsi="宋体" w:cs="宋体"/>
          <w:szCs w:val="21"/>
        </w:rPr>
        <w:t>价格调整的项目和系数：。</w:t>
      </w:r>
    </w:p>
    <w:p>
      <w:pPr>
        <w:keepNext/>
        <w:keepLines/>
        <w:spacing w:line="400" w:lineRule="exact"/>
        <w:outlineLvl w:val="3"/>
        <w:rPr>
          <w:rFonts w:ascii="宋体" w:hAnsi="宋体" w:cs="宋体"/>
          <w:szCs w:val="21"/>
        </w:rPr>
      </w:pPr>
      <w:bookmarkStart w:id="486" w:name="_Toc222031042"/>
      <w:bookmarkStart w:id="487" w:name="_Toc20034"/>
      <w:bookmarkStart w:id="488" w:name="_Toc229305398"/>
      <w:bookmarkStart w:id="489" w:name="_Toc40390813"/>
      <w:bookmarkStart w:id="490" w:name="_Toc19741"/>
      <w:bookmarkStart w:id="491" w:name="_Toc221951223"/>
      <w:bookmarkStart w:id="492" w:name="_Toc6941"/>
      <w:bookmarkStart w:id="493" w:name="_Toc17184"/>
      <w:bookmarkStart w:id="494" w:name="_Toc364"/>
      <w:bookmarkStart w:id="495" w:name="_Toc222029540"/>
      <w:bookmarkStart w:id="496" w:name="_Toc22903"/>
      <w:bookmarkStart w:id="497" w:name="_Toc222033891"/>
      <w:bookmarkStart w:id="498" w:name="_Toc259524389"/>
      <w:bookmarkStart w:id="499" w:name="_Toc222032709"/>
      <w:bookmarkStart w:id="500" w:name="_Toc4112"/>
      <w:r>
        <w:rPr>
          <w:rFonts w:hint="eastAsia" w:ascii="宋体" w:hAnsi="宋体" w:cs="宋体"/>
          <w:szCs w:val="21"/>
        </w:rPr>
        <w:t>16  计量与支付</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400" w:lineRule="exact"/>
        <w:rPr>
          <w:rFonts w:ascii="宋体" w:hAnsi="宋体" w:cs="宋体"/>
          <w:szCs w:val="21"/>
        </w:rPr>
      </w:pPr>
      <w:bookmarkStart w:id="501" w:name="_Toc498"/>
      <w:bookmarkStart w:id="502" w:name="_Toc6334"/>
      <w:bookmarkStart w:id="503" w:name="_Toc221951224"/>
      <w:r>
        <w:rPr>
          <w:rFonts w:hint="eastAsia" w:ascii="宋体" w:hAnsi="宋体" w:cs="宋体"/>
          <w:szCs w:val="21"/>
        </w:rPr>
        <w:t>16.2  预付款</w:t>
      </w:r>
      <w:bookmarkEnd w:id="501"/>
      <w:bookmarkEnd w:id="502"/>
      <w:bookmarkEnd w:id="503"/>
    </w:p>
    <w:p>
      <w:pPr>
        <w:spacing w:line="400" w:lineRule="exact"/>
        <w:ind w:right="248" w:firstLine="480"/>
        <w:rPr>
          <w:rFonts w:ascii="宋体" w:hAnsi="宋体" w:cs="宋体"/>
          <w:szCs w:val="21"/>
        </w:rPr>
      </w:pPr>
      <w:bookmarkStart w:id="504" w:name="_Toc221951226"/>
      <w:r>
        <w:rPr>
          <w:rFonts w:hint="eastAsia" w:ascii="宋体" w:hAnsi="宋体" w:cs="宋体"/>
          <w:szCs w:val="21"/>
        </w:rPr>
        <w:t>16.2.1预付款</w:t>
      </w:r>
      <w:bookmarkEnd w:id="504"/>
      <w:r>
        <w:rPr>
          <w:rFonts w:hint="eastAsia" w:ascii="宋体" w:hAnsi="宋体" w:cs="宋体"/>
          <w:szCs w:val="21"/>
        </w:rPr>
        <w:t xml:space="preserve"> ：</w:t>
      </w:r>
    </w:p>
    <w:p>
      <w:pPr>
        <w:spacing w:line="400" w:lineRule="exact"/>
        <w:ind w:right="248" w:firstLine="480"/>
        <w:rPr>
          <w:rFonts w:ascii="宋体" w:hAnsi="宋体" w:cs="宋体"/>
          <w:color w:val="000000"/>
          <w:szCs w:val="21"/>
        </w:rPr>
      </w:pPr>
      <w:bookmarkStart w:id="505" w:name="_Toc221951228"/>
      <w:r>
        <w:rPr>
          <w:rFonts w:hint="eastAsia" w:ascii="宋体" w:hAnsi="宋体" w:cs="宋体"/>
          <w:color w:val="000000"/>
          <w:szCs w:val="21"/>
        </w:rPr>
        <w:t>工程预付款的总金额为签约合同价的%，分次支付给承包人。</w:t>
      </w:r>
      <w:bookmarkEnd w:id="505"/>
    </w:p>
    <w:p>
      <w:pPr>
        <w:spacing w:line="400" w:lineRule="exact"/>
        <w:ind w:right="248" w:firstLine="480"/>
        <w:rPr>
          <w:rFonts w:ascii="宋体" w:hAnsi="宋体" w:cs="宋体"/>
          <w:color w:val="000000"/>
          <w:szCs w:val="21"/>
        </w:rPr>
      </w:pPr>
      <w:bookmarkStart w:id="506" w:name="_Toc221951229"/>
      <w:r>
        <w:rPr>
          <w:rFonts w:hint="eastAsia" w:ascii="宋体" w:hAnsi="宋体" w:cs="宋体"/>
          <w:color w:val="000000"/>
          <w:szCs w:val="21"/>
        </w:rPr>
        <w:t>各次预付款的支付额度和付款时间为：</w:t>
      </w:r>
      <w:bookmarkEnd w:id="506"/>
    </w:p>
    <w:p>
      <w:pPr>
        <w:spacing w:line="400" w:lineRule="exact"/>
        <w:ind w:right="248" w:firstLine="480"/>
        <w:rPr>
          <w:rFonts w:ascii="宋体" w:hAnsi="宋体" w:cs="宋体"/>
          <w:color w:val="000000"/>
          <w:szCs w:val="21"/>
        </w:rPr>
      </w:pPr>
      <w:bookmarkStart w:id="507" w:name="_Toc221951230"/>
      <w:r>
        <w:rPr>
          <w:rFonts w:hint="eastAsia" w:ascii="宋体" w:hAnsi="宋体" w:cs="宋体"/>
          <w:color w:val="000000"/>
          <w:szCs w:val="21"/>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507"/>
    </w:p>
    <w:p>
      <w:pPr>
        <w:spacing w:line="400" w:lineRule="exact"/>
        <w:ind w:right="248" w:firstLine="480"/>
        <w:rPr>
          <w:rFonts w:ascii="宋体" w:hAnsi="宋体" w:cs="宋体"/>
          <w:color w:val="000000"/>
          <w:szCs w:val="21"/>
        </w:rPr>
      </w:pPr>
      <w:bookmarkStart w:id="508" w:name="_Toc221951231"/>
      <w:r>
        <w:rPr>
          <w:rFonts w:hint="eastAsia" w:ascii="宋体" w:hAnsi="宋体" w:cs="宋体"/>
          <w:color w:val="000000"/>
          <w:szCs w:val="21"/>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508"/>
    </w:p>
    <w:p>
      <w:pPr>
        <w:spacing w:line="400" w:lineRule="exact"/>
        <w:ind w:right="248" w:firstLine="480"/>
        <w:rPr>
          <w:rFonts w:ascii="宋体" w:hAnsi="宋体" w:cs="宋体"/>
          <w:color w:val="000000"/>
          <w:szCs w:val="21"/>
        </w:rPr>
      </w:pPr>
      <w:bookmarkStart w:id="509" w:name="_Toc221951232"/>
      <w:r>
        <w:rPr>
          <w:rFonts w:hint="eastAsia" w:ascii="宋体" w:hAnsi="宋体" w:cs="宋体"/>
          <w:color w:val="000000"/>
          <w:szCs w:val="21"/>
        </w:rPr>
        <w:t>3）第三次预付款 …………………………………。</w:t>
      </w:r>
      <w:bookmarkEnd w:id="509"/>
    </w:p>
    <w:p>
      <w:pPr>
        <w:spacing w:line="400" w:lineRule="exact"/>
        <w:ind w:right="248" w:firstLine="420" w:firstLineChars="200"/>
        <w:rPr>
          <w:rFonts w:ascii="宋体" w:hAnsi="宋体" w:cs="宋体"/>
          <w:color w:val="000000"/>
          <w:szCs w:val="21"/>
        </w:rPr>
      </w:pPr>
      <w:bookmarkStart w:id="510" w:name="_Toc221951233"/>
      <w:r>
        <w:rPr>
          <w:rFonts w:hint="eastAsia" w:ascii="宋体" w:hAnsi="宋体" w:cs="宋体"/>
          <w:color w:val="000000"/>
          <w:szCs w:val="21"/>
        </w:rPr>
        <w:t>┇</w:t>
      </w:r>
      <w:bookmarkEnd w:id="510"/>
    </w:p>
    <w:p>
      <w:pPr>
        <w:spacing w:line="400" w:lineRule="exact"/>
        <w:ind w:right="248" w:firstLine="420" w:firstLineChars="200"/>
        <w:rPr>
          <w:rFonts w:ascii="宋体" w:hAnsi="宋体" w:cs="宋体"/>
          <w:color w:val="000000"/>
          <w:szCs w:val="21"/>
        </w:rPr>
      </w:pPr>
      <w:bookmarkStart w:id="511" w:name="_Toc221951234"/>
      <w:r>
        <w:rPr>
          <w:rFonts w:hint="eastAsia" w:ascii="宋体" w:hAnsi="宋体" w:cs="宋体"/>
          <w:color w:val="000000"/>
          <w:szCs w:val="21"/>
        </w:rPr>
        <w:t>┇</w:t>
      </w:r>
      <w:bookmarkEnd w:id="511"/>
    </w:p>
    <w:p>
      <w:pPr>
        <w:spacing w:line="400" w:lineRule="exact"/>
        <w:ind w:right="248" w:firstLine="480"/>
        <w:rPr>
          <w:rFonts w:ascii="宋体" w:hAnsi="宋体" w:cs="宋体"/>
          <w:color w:val="000000"/>
          <w:szCs w:val="21"/>
        </w:rPr>
      </w:pPr>
      <w:bookmarkStart w:id="512" w:name="_Toc221951235"/>
      <w:r>
        <w:rPr>
          <w:rFonts w:hint="eastAsia" w:ascii="宋体" w:hAnsi="宋体" w:cs="宋体"/>
          <w:szCs w:val="21"/>
        </w:rPr>
        <w:t>16.2.2 预付款保函</w:t>
      </w:r>
      <w:bookmarkEnd w:id="512"/>
      <w:r>
        <w:rPr>
          <w:rFonts w:hint="eastAsia" w:ascii="宋体" w:hAnsi="宋体" w:cs="宋体"/>
          <w:szCs w:val="21"/>
        </w:rPr>
        <w:t>（担保）</w:t>
      </w:r>
    </w:p>
    <w:p>
      <w:pPr>
        <w:spacing w:line="400" w:lineRule="exact"/>
        <w:ind w:right="248" w:firstLine="420" w:firstLineChars="200"/>
        <w:rPr>
          <w:rFonts w:ascii="宋体" w:hAnsi="宋体" w:cs="宋体"/>
          <w:color w:val="000000"/>
          <w:szCs w:val="21"/>
        </w:rPr>
      </w:pPr>
      <w:bookmarkStart w:id="513" w:name="_Toc221951236"/>
      <w:r>
        <w:rPr>
          <w:rFonts w:hint="eastAsia" w:ascii="宋体" w:hAnsi="宋体" w:cs="宋体"/>
          <w:color w:val="000000"/>
          <w:szCs w:val="21"/>
        </w:rPr>
        <w:t>（2）工程材料预付款的担保约定为：。</w:t>
      </w:r>
      <w:bookmarkEnd w:id="513"/>
    </w:p>
    <w:p>
      <w:pPr>
        <w:spacing w:line="400" w:lineRule="exact"/>
        <w:ind w:right="248" w:firstLine="420" w:firstLineChars="200"/>
        <w:rPr>
          <w:rFonts w:ascii="宋体" w:hAnsi="宋体" w:cs="宋体"/>
          <w:color w:val="000000"/>
          <w:szCs w:val="21"/>
        </w:rPr>
      </w:pPr>
      <w:bookmarkStart w:id="514" w:name="_Toc221951237"/>
      <w:r>
        <w:rPr>
          <w:rFonts w:hint="eastAsia" w:ascii="宋体" w:hAnsi="宋体" w:cs="宋体"/>
          <w:color w:val="000000"/>
          <w:szCs w:val="21"/>
        </w:rPr>
        <w:t>16.2.3 预付款的扣回与还清</w:t>
      </w:r>
      <w:bookmarkEnd w:id="514"/>
    </w:p>
    <w:p>
      <w:pPr>
        <w:spacing w:line="400" w:lineRule="exact"/>
        <w:ind w:left="120" w:leftChars="57" w:right="248" w:firstLine="315" w:firstLineChars="150"/>
        <w:rPr>
          <w:rFonts w:ascii="宋体" w:hAnsi="宋体" w:cs="宋体"/>
          <w:color w:val="000000"/>
          <w:szCs w:val="21"/>
        </w:rPr>
      </w:pPr>
      <w:bookmarkStart w:id="515" w:name="_Toc221951238"/>
      <w:r>
        <w:rPr>
          <w:rFonts w:hint="eastAsia" w:ascii="宋体" w:hAnsi="宋体" w:cs="宋体"/>
          <w:color w:val="000000"/>
          <w:szCs w:val="21"/>
        </w:rPr>
        <w:t>（1）工程预付款在合同累计完成金额达到合同价格的%时开始扣款，直至合同累计完成金额达到合同价格的%时全部扣清。</w:t>
      </w:r>
      <w:bookmarkEnd w:id="515"/>
    </w:p>
    <w:p>
      <w:pPr>
        <w:spacing w:line="400" w:lineRule="exact"/>
        <w:ind w:right="248" w:firstLine="945" w:firstLineChars="450"/>
        <w:rPr>
          <w:rFonts w:ascii="宋体" w:hAnsi="宋体" w:cs="宋体"/>
          <w:color w:val="000000"/>
          <w:szCs w:val="21"/>
        </w:rPr>
      </w:pPr>
      <w:r>
        <w:drawing>
          <wp:anchor distT="0" distB="0" distL="114300" distR="114300" simplePos="0" relativeHeight="251659264" behindDoc="0" locked="0" layoutInCell="1" allowOverlap="1">
            <wp:simplePos x="0" y="0"/>
            <wp:positionH relativeFrom="column">
              <wp:posOffset>800100</wp:posOffset>
            </wp:positionH>
            <wp:positionV relativeFrom="paragraph">
              <wp:posOffset>60960</wp:posOffset>
            </wp:positionV>
            <wp:extent cx="1637030" cy="495300"/>
            <wp:effectExtent l="0" t="0" r="1270" b="0"/>
            <wp:wrapSquare wrapText="r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37030" cy="495300"/>
                    </a:xfrm>
                    <a:prstGeom prst="rect">
                      <a:avLst/>
                    </a:prstGeom>
                    <a:noFill/>
                    <a:ln>
                      <a:noFill/>
                    </a:ln>
                  </pic:spPr>
                </pic:pic>
              </a:graphicData>
            </a:graphic>
          </wp:anchor>
        </w:drawing>
      </w:r>
      <w:bookmarkStart w:id="516" w:name="_Toc221951240"/>
    </w:p>
    <w:p>
      <w:pPr>
        <w:spacing w:line="400" w:lineRule="exact"/>
        <w:ind w:right="248"/>
        <w:rPr>
          <w:rFonts w:ascii="宋体" w:hAnsi="宋体" w:cs="宋体"/>
          <w:color w:val="000000"/>
          <w:szCs w:val="21"/>
        </w:rPr>
      </w:pPr>
    </w:p>
    <w:p>
      <w:pPr>
        <w:spacing w:line="400" w:lineRule="exact"/>
        <w:ind w:right="248"/>
        <w:rPr>
          <w:rFonts w:ascii="宋体" w:hAnsi="宋体" w:cs="宋体"/>
          <w:color w:val="000000"/>
          <w:szCs w:val="21"/>
        </w:rPr>
      </w:pPr>
    </w:p>
    <w:p>
      <w:pPr>
        <w:spacing w:line="400" w:lineRule="exact"/>
        <w:ind w:right="248" w:firstLine="525" w:firstLineChars="250"/>
        <w:rPr>
          <w:rFonts w:ascii="宋体" w:hAnsi="宋体" w:cs="宋体"/>
          <w:color w:val="000000"/>
          <w:szCs w:val="21"/>
        </w:rPr>
      </w:pPr>
      <w:r>
        <w:rPr>
          <w:rFonts w:hint="eastAsia" w:ascii="宋体" w:hAnsi="宋体" w:cs="宋体"/>
          <w:color w:val="000000"/>
          <w:szCs w:val="21"/>
        </w:rPr>
        <w:t>式中：R——每次进度付款中累计扣回的金额；</w:t>
      </w:r>
      <w:bookmarkEnd w:id="516"/>
    </w:p>
    <w:p>
      <w:pPr>
        <w:spacing w:line="400" w:lineRule="exact"/>
        <w:ind w:right="248" w:firstLine="480"/>
        <w:rPr>
          <w:rFonts w:ascii="宋体" w:hAnsi="宋体" w:cs="宋体"/>
          <w:color w:val="000000"/>
          <w:szCs w:val="21"/>
        </w:rPr>
      </w:pPr>
      <w:bookmarkStart w:id="517" w:name="_Toc221951241"/>
      <w:r>
        <w:rPr>
          <w:rFonts w:hint="eastAsia" w:ascii="宋体" w:hAnsi="宋体" w:cs="宋体"/>
          <w:color w:val="000000"/>
          <w:szCs w:val="21"/>
        </w:rPr>
        <w:t>A——工程预付款总金额；</w:t>
      </w:r>
      <w:bookmarkEnd w:id="517"/>
    </w:p>
    <w:p>
      <w:pPr>
        <w:spacing w:line="400" w:lineRule="exact"/>
        <w:ind w:right="248" w:firstLine="480"/>
        <w:rPr>
          <w:rFonts w:ascii="宋体" w:hAnsi="宋体" w:cs="宋体"/>
          <w:color w:val="000000"/>
          <w:szCs w:val="21"/>
        </w:rPr>
      </w:pPr>
      <w:bookmarkStart w:id="518" w:name="_Toc221951242"/>
      <w:r>
        <w:rPr>
          <w:rFonts w:hint="eastAsia" w:ascii="宋体" w:hAnsi="宋体" w:cs="宋体"/>
          <w:color w:val="000000"/>
          <w:szCs w:val="21"/>
        </w:rPr>
        <w:t>S——合同价格；</w:t>
      </w:r>
      <w:bookmarkEnd w:id="518"/>
    </w:p>
    <w:p>
      <w:pPr>
        <w:spacing w:line="400" w:lineRule="exact"/>
        <w:ind w:right="248" w:firstLine="480"/>
        <w:rPr>
          <w:rFonts w:ascii="宋体" w:hAnsi="宋体" w:cs="宋体"/>
          <w:color w:val="000000"/>
          <w:szCs w:val="21"/>
        </w:rPr>
      </w:pPr>
      <w:bookmarkStart w:id="519" w:name="_Toc221951243"/>
      <w:r>
        <w:rPr>
          <w:rFonts w:hint="eastAsia" w:ascii="宋体" w:hAnsi="宋体" w:cs="宋体"/>
          <w:color w:val="000000"/>
          <w:szCs w:val="21"/>
        </w:rPr>
        <w:t>C——合同累计完成金额；</w:t>
      </w:r>
      <w:bookmarkEnd w:id="519"/>
    </w:p>
    <w:p>
      <w:pPr>
        <w:spacing w:line="400" w:lineRule="exact"/>
        <w:ind w:right="248" w:firstLine="480"/>
        <w:rPr>
          <w:rFonts w:ascii="宋体" w:hAnsi="宋体" w:cs="宋体"/>
          <w:color w:val="000000"/>
          <w:szCs w:val="21"/>
        </w:rPr>
      </w:pPr>
      <w:bookmarkStart w:id="520" w:name="_Toc221951244"/>
      <w:r>
        <w:rPr>
          <w:rFonts w:hint="eastAsia" w:ascii="宋体" w:hAnsi="宋体" w:cs="宋体"/>
          <w:color w:val="000000"/>
          <w:szCs w:val="21"/>
        </w:rPr>
        <w:t>F1——开始扣款时合同累计完成金额达到合同价格的比例；</w:t>
      </w:r>
      <w:bookmarkEnd w:id="520"/>
    </w:p>
    <w:p>
      <w:pPr>
        <w:spacing w:line="400" w:lineRule="exact"/>
        <w:ind w:right="248" w:firstLine="480"/>
        <w:rPr>
          <w:rFonts w:ascii="宋体" w:hAnsi="宋体" w:cs="宋体"/>
          <w:color w:val="000000"/>
          <w:szCs w:val="21"/>
        </w:rPr>
      </w:pPr>
      <w:bookmarkStart w:id="521" w:name="_Toc221951245"/>
      <w:r>
        <w:rPr>
          <w:rFonts w:hint="eastAsia" w:ascii="宋体" w:hAnsi="宋体" w:cs="宋体"/>
          <w:color w:val="000000"/>
          <w:szCs w:val="21"/>
        </w:rPr>
        <w:t>F2——全部扣清时合同累计完成金额达到合同价格的比例。</w:t>
      </w:r>
      <w:bookmarkEnd w:id="521"/>
    </w:p>
    <w:p>
      <w:pPr>
        <w:spacing w:line="400" w:lineRule="exact"/>
        <w:ind w:right="248" w:firstLine="480"/>
        <w:rPr>
          <w:rFonts w:ascii="宋体" w:hAnsi="宋体" w:cs="宋体"/>
          <w:color w:val="000000"/>
          <w:szCs w:val="21"/>
        </w:rPr>
      </w:pPr>
      <w:bookmarkStart w:id="522" w:name="_Toc221951246"/>
      <w:r>
        <w:rPr>
          <w:rFonts w:hint="eastAsia" w:ascii="宋体" w:hAnsi="宋体" w:cs="宋体"/>
          <w:color w:val="000000"/>
          <w:szCs w:val="21"/>
        </w:rPr>
        <w:t>上述合同累计完成金额均指价格调整前未扣质量保证金的金额。</w:t>
      </w:r>
      <w:bookmarkEnd w:id="522"/>
    </w:p>
    <w:p>
      <w:pPr>
        <w:spacing w:line="400" w:lineRule="exact"/>
        <w:ind w:right="248" w:firstLine="480"/>
        <w:rPr>
          <w:rFonts w:ascii="宋体" w:hAnsi="宋体" w:cs="宋体"/>
          <w:color w:val="000000"/>
          <w:szCs w:val="21"/>
        </w:rPr>
      </w:pPr>
      <w:r>
        <w:rPr>
          <w:rFonts w:hint="eastAsia" w:ascii="宋体" w:hAnsi="宋体" w:cs="宋体"/>
          <w:color w:val="000000"/>
          <w:szCs w:val="21"/>
        </w:rPr>
        <w:t>（2）工程材料预付款的扣回与还清约定为： 。</w:t>
      </w:r>
    </w:p>
    <w:p>
      <w:pPr>
        <w:spacing w:line="400" w:lineRule="exact"/>
        <w:rPr>
          <w:rFonts w:ascii="宋体" w:hAnsi="宋体" w:cs="宋体"/>
          <w:szCs w:val="21"/>
        </w:rPr>
      </w:pPr>
      <w:bookmarkStart w:id="523" w:name="_Toc18130"/>
      <w:bookmarkStart w:id="524" w:name="_Toc27930"/>
      <w:bookmarkStart w:id="525" w:name="_Toc221951260"/>
      <w:r>
        <w:rPr>
          <w:rFonts w:hint="eastAsia" w:ascii="宋体" w:hAnsi="宋体" w:cs="宋体"/>
          <w:szCs w:val="21"/>
        </w:rPr>
        <w:t>16.4  质量保证金</w:t>
      </w:r>
      <w:bookmarkEnd w:id="523"/>
      <w:bookmarkEnd w:id="524"/>
      <w:bookmarkEnd w:id="525"/>
    </w:p>
    <w:p>
      <w:pPr>
        <w:spacing w:line="400" w:lineRule="exact"/>
        <w:ind w:right="248" w:firstLine="420" w:firstLineChars="200"/>
        <w:rPr>
          <w:rFonts w:ascii="宋体" w:hAnsi="宋体" w:cs="宋体"/>
          <w:color w:val="000000"/>
          <w:szCs w:val="21"/>
        </w:rPr>
      </w:pPr>
      <w:bookmarkStart w:id="526" w:name="_Toc221951262"/>
      <w:r>
        <w:rPr>
          <w:rFonts w:hint="eastAsia" w:ascii="宋体" w:hAnsi="宋体" w:cs="宋体"/>
          <w:color w:val="000000"/>
          <w:szCs w:val="21"/>
        </w:rPr>
        <w:t>16.4.1</w:t>
      </w:r>
      <w:bookmarkEnd w:id="526"/>
      <w:r>
        <w:rPr>
          <w:rFonts w:hint="eastAsia" w:ascii="宋体" w:hAnsi="宋体" w:cs="宋体"/>
          <w:szCs w:val="21"/>
        </w:rPr>
        <w:t>每个付款周期扣留的质量保证金为工程进度付款的％，扣留的质量保证金总额为签约合同价的％。</w:t>
      </w:r>
    </w:p>
    <w:p>
      <w:pPr>
        <w:spacing w:line="400" w:lineRule="exact"/>
        <w:rPr>
          <w:rFonts w:ascii="宋体" w:hAnsi="宋体" w:cs="宋体"/>
          <w:szCs w:val="21"/>
        </w:rPr>
      </w:pPr>
      <w:bookmarkStart w:id="527" w:name="_Toc28892"/>
      <w:bookmarkStart w:id="528" w:name="_Toc11337"/>
      <w:bookmarkStart w:id="529" w:name="_Toc221951265"/>
      <w:r>
        <w:rPr>
          <w:rFonts w:hint="eastAsia" w:ascii="宋体" w:hAnsi="宋体" w:cs="宋体"/>
          <w:szCs w:val="21"/>
        </w:rPr>
        <w:t>16.5  竣工（完工）结算</w:t>
      </w:r>
      <w:bookmarkEnd w:id="527"/>
      <w:bookmarkEnd w:id="528"/>
      <w:bookmarkEnd w:id="529"/>
    </w:p>
    <w:p>
      <w:pPr>
        <w:spacing w:line="400" w:lineRule="exact"/>
        <w:ind w:right="248" w:firstLine="480"/>
        <w:rPr>
          <w:rFonts w:ascii="宋体" w:hAnsi="宋体" w:cs="宋体"/>
          <w:color w:val="000000"/>
          <w:szCs w:val="21"/>
        </w:rPr>
      </w:pPr>
      <w:bookmarkStart w:id="530" w:name="_Toc221951266"/>
      <w:r>
        <w:rPr>
          <w:rFonts w:hint="eastAsia" w:ascii="宋体" w:hAnsi="宋体" w:cs="宋体"/>
          <w:color w:val="000000"/>
          <w:szCs w:val="21"/>
        </w:rPr>
        <w:t>16.5.1  竣工（完工）付款申请单</w:t>
      </w:r>
      <w:bookmarkEnd w:id="530"/>
    </w:p>
    <w:p>
      <w:pPr>
        <w:spacing w:line="400" w:lineRule="exact"/>
        <w:ind w:right="248" w:firstLine="480"/>
        <w:rPr>
          <w:rFonts w:ascii="宋体" w:hAnsi="宋体" w:cs="宋体"/>
          <w:color w:val="000000"/>
          <w:szCs w:val="21"/>
        </w:rPr>
      </w:pPr>
      <w:bookmarkStart w:id="531" w:name="_Toc221951267"/>
      <w:r>
        <w:rPr>
          <w:rFonts w:hint="eastAsia" w:ascii="宋体" w:hAnsi="宋体" w:cs="宋体"/>
          <w:color w:val="000000"/>
          <w:szCs w:val="21"/>
        </w:rPr>
        <w:t>（1）承包人应提交竣工付款申请单一式份。</w:t>
      </w:r>
      <w:bookmarkEnd w:id="531"/>
    </w:p>
    <w:p>
      <w:pPr>
        <w:spacing w:line="400" w:lineRule="exact"/>
        <w:rPr>
          <w:rFonts w:ascii="宋体" w:hAnsi="宋体" w:cs="宋体"/>
          <w:szCs w:val="21"/>
        </w:rPr>
      </w:pPr>
      <w:bookmarkStart w:id="532" w:name="_Toc8570"/>
      <w:bookmarkStart w:id="533" w:name="_Toc221951268"/>
      <w:bookmarkStart w:id="534" w:name="_Toc6748"/>
      <w:r>
        <w:rPr>
          <w:rFonts w:hint="eastAsia" w:ascii="宋体" w:hAnsi="宋体" w:cs="宋体"/>
          <w:szCs w:val="21"/>
        </w:rPr>
        <w:t>16.6  最终结清</w:t>
      </w:r>
      <w:bookmarkEnd w:id="532"/>
      <w:bookmarkEnd w:id="533"/>
      <w:bookmarkEnd w:id="534"/>
    </w:p>
    <w:p>
      <w:pPr>
        <w:spacing w:line="400" w:lineRule="exact"/>
        <w:ind w:right="248" w:firstLine="480"/>
        <w:rPr>
          <w:rFonts w:ascii="宋体" w:hAnsi="宋体" w:cs="宋体"/>
          <w:szCs w:val="21"/>
        </w:rPr>
      </w:pPr>
      <w:bookmarkStart w:id="535" w:name="_Toc221951269"/>
      <w:r>
        <w:rPr>
          <w:rFonts w:hint="eastAsia" w:ascii="宋体" w:hAnsi="宋体" w:cs="宋体"/>
          <w:szCs w:val="21"/>
        </w:rPr>
        <w:t>16.6 1  最终结清申请单</w:t>
      </w:r>
      <w:bookmarkEnd w:id="535"/>
    </w:p>
    <w:p>
      <w:pPr>
        <w:spacing w:line="400" w:lineRule="exact"/>
        <w:ind w:right="248" w:firstLine="480"/>
        <w:rPr>
          <w:rFonts w:ascii="宋体" w:hAnsi="宋体" w:cs="宋体"/>
          <w:color w:val="000000"/>
          <w:szCs w:val="21"/>
        </w:rPr>
      </w:pPr>
      <w:bookmarkStart w:id="536" w:name="_Toc221951270"/>
      <w:r>
        <w:rPr>
          <w:rFonts w:hint="eastAsia" w:ascii="宋体" w:hAnsi="宋体" w:cs="宋体"/>
          <w:color w:val="000000"/>
          <w:szCs w:val="21"/>
        </w:rPr>
        <w:t>（1）承包人应提交最终结清申请单一式份。</w:t>
      </w:r>
      <w:bookmarkEnd w:id="536"/>
    </w:p>
    <w:p>
      <w:pPr>
        <w:spacing w:line="400" w:lineRule="exact"/>
        <w:rPr>
          <w:rFonts w:ascii="宋体" w:hAnsi="宋体" w:cs="宋体"/>
          <w:szCs w:val="21"/>
        </w:rPr>
      </w:pPr>
      <w:bookmarkStart w:id="537" w:name="_Toc19354"/>
      <w:bookmarkStart w:id="538" w:name="_Toc22529"/>
      <w:r>
        <w:rPr>
          <w:rFonts w:hint="eastAsia" w:ascii="宋体" w:hAnsi="宋体" w:cs="宋体"/>
          <w:szCs w:val="21"/>
        </w:rPr>
        <w:t>16.7 竣工财务决算</w:t>
      </w:r>
      <w:bookmarkEnd w:id="537"/>
      <w:bookmarkEnd w:id="538"/>
    </w:p>
    <w:p>
      <w:pPr>
        <w:spacing w:line="400" w:lineRule="exact"/>
        <w:ind w:right="248" w:firstLine="480"/>
        <w:rPr>
          <w:rFonts w:ascii="宋体" w:hAnsi="宋体" w:cs="宋体"/>
          <w:color w:val="000000"/>
          <w:szCs w:val="21"/>
        </w:rPr>
      </w:pPr>
      <w:r>
        <w:rPr>
          <w:rFonts w:hint="eastAsia" w:ascii="宋体" w:hAnsi="宋体" w:cs="宋体"/>
          <w:color w:val="000000"/>
          <w:szCs w:val="21"/>
        </w:rPr>
        <w:t>承包人应为竣工财务决算编制提供的资料：。</w:t>
      </w:r>
    </w:p>
    <w:p>
      <w:pPr>
        <w:keepNext/>
        <w:keepLines/>
        <w:spacing w:line="400" w:lineRule="exact"/>
        <w:outlineLvl w:val="3"/>
        <w:rPr>
          <w:rFonts w:ascii="宋体" w:hAnsi="宋体" w:cs="宋体"/>
          <w:szCs w:val="21"/>
        </w:rPr>
      </w:pPr>
      <w:bookmarkStart w:id="539" w:name="_Toc222031043"/>
      <w:bookmarkStart w:id="540" w:name="_Toc222033892"/>
      <w:bookmarkStart w:id="541" w:name="_Toc229305399"/>
      <w:bookmarkStart w:id="542" w:name="_Toc222029541"/>
      <w:bookmarkStart w:id="543" w:name="_Toc222032710"/>
      <w:bookmarkStart w:id="544" w:name="_Toc221951271"/>
      <w:bookmarkStart w:id="545" w:name="_Toc23026"/>
      <w:bookmarkStart w:id="546" w:name="_Toc13249"/>
      <w:bookmarkStart w:id="547" w:name="_Toc2647"/>
      <w:bookmarkStart w:id="548" w:name="_Toc9876"/>
      <w:bookmarkStart w:id="549" w:name="_Toc9449"/>
      <w:bookmarkStart w:id="550" w:name="_Toc259524390"/>
      <w:bookmarkStart w:id="551" w:name="_Toc40390814"/>
      <w:bookmarkStart w:id="552" w:name="_Toc2620"/>
      <w:bookmarkStart w:id="553" w:name="_Toc30663"/>
      <w:r>
        <w:rPr>
          <w:rFonts w:hint="eastAsia" w:ascii="宋体" w:hAnsi="宋体" w:cs="宋体"/>
          <w:szCs w:val="21"/>
        </w:rPr>
        <w:t>17  竣工验收</w:t>
      </w:r>
      <w:bookmarkEnd w:id="539"/>
      <w:bookmarkEnd w:id="540"/>
      <w:bookmarkEnd w:id="541"/>
      <w:bookmarkEnd w:id="542"/>
      <w:bookmarkEnd w:id="543"/>
      <w:bookmarkEnd w:id="544"/>
      <w:r>
        <w:rPr>
          <w:rFonts w:hint="eastAsia" w:ascii="宋体" w:hAnsi="宋体" w:cs="宋体"/>
          <w:szCs w:val="21"/>
        </w:rPr>
        <w:t>（验收）</w:t>
      </w:r>
      <w:bookmarkEnd w:id="545"/>
      <w:bookmarkEnd w:id="546"/>
      <w:bookmarkEnd w:id="547"/>
      <w:bookmarkEnd w:id="548"/>
      <w:bookmarkEnd w:id="549"/>
      <w:bookmarkEnd w:id="550"/>
      <w:bookmarkEnd w:id="551"/>
      <w:bookmarkEnd w:id="552"/>
      <w:bookmarkEnd w:id="553"/>
    </w:p>
    <w:p>
      <w:pPr>
        <w:spacing w:line="400" w:lineRule="exact"/>
        <w:rPr>
          <w:rFonts w:ascii="宋体" w:hAnsi="宋体" w:cs="宋体"/>
          <w:szCs w:val="21"/>
        </w:rPr>
      </w:pPr>
      <w:bookmarkStart w:id="554" w:name="_Toc221951272"/>
      <w:bookmarkStart w:id="555" w:name="_Toc4439"/>
      <w:bookmarkStart w:id="556" w:name="_Toc18486"/>
      <w:r>
        <w:rPr>
          <w:rFonts w:hint="eastAsia" w:ascii="宋体" w:hAnsi="宋体" w:cs="宋体"/>
          <w:szCs w:val="21"/>
        </w:rPr>
        <w:t xml:space="preserve">17.1 </w:t>
      </w:r>
      <w:bookmarkEnd w:id="554"/>
      <w:r>
        <w:rPr>
          <w:rFonts w:hint="eastAsia" w:ascii="宋体" w:hAnsi="宋体" w:cs="宋体"/>
          <w:szCs w:val="21"/>
        </w:rPr>
        <w:t>验收工作分类</w:t>
      </w:r>
      <w:bookmarkEnd w:id="555"/>
      <w:bookmarkEnd w:id="556"/>
    </w:p>
    <w:p>
      <w:pPr>
        <w:spacing w:line="400" w:lineRule="exact"/>
        <w:ind w:firstLine="315" w:firstLineChars="150"/>
        <w:rPr>
          <w:rFonts w:ascii="宋体" w:hAnsi="宋体" w:cs="宋体"/>
          <w:color w:val="0000FF"/>
          <w:szCs w:val="21"/>
        </w:rPr>
      </w:pPr>
      <w:bookmarkStart w:id="557" w:name="_Toc221951274"/>
      <w:r>
        <w:rPr>
          <w:rFonts w:hint="eastAsia" w:ascii="宋体" w:hAnsi="宋体" w:cs="宋体"/>
          <w:szCs w:val="21"/>
        </w:rPr>
        <w:t>本工程法人验收包括：；政府验收包括：。验收条件为：，验收程序为：。</w:t>
      </w:r>
    </w:p>
    <w:p>
      <w:pPr>
        <w:spacing w:line="400" w:lineRule="exact"/>
        <w:rPr>
          <w:rFonts w:ascii="宋体" w:hAnsi="宋体" w:cs="宋体"/>
          <w:szCs w:val="21"/>
        </w:rPr>
      </w:pPr>
      <w:bookmarkStart w:id="558" w:name="_Toc12427"/>
      <w:bookmarkStart w:id="559" w:name="_Toc19460"/>
      <w:r>
        <w:rPr>
          <w:rFonts w:hint="eastAsia" w:ascii="宋体" w:hAnsi="宋体" w:cs="宋体"/>
          <w:szCs w:val="21"/>
        </w:rPr>
        <w:t>17.2 分部工程验收</w:t>
      </w:r>
      <w:bookmarkEnd w:id="558"/>
      <w:bookmarkEnd w:id="559"/>
    </w:p>
    <w:p>
      <w:pPr>
        <w:spacing w:line="400" w:lineRule="exact"/>
        <w:ind w:firstLine="315" w:firstLineChars="150"/>
        <w:rPr>
          <w:rFonts w:ascii="宋体" w:hAnsi="宋体" w:cs="宋体"/>
          <w:color w:val="0000FF"/>
          <w:szCs w:val="21"/>
        </w:rPr>
      </w:pPr>
      <w:r>
        <w:rPr>
          <w:rFonts w:hint="eastAsia" w:ascii="宋体" w:hAnsi="宋体" w:cs="宋体"/>
          <w:szCs w:val="21"/>
        </w:rPr>
        <w:t>17.2.2 本工程由发包人主持的分部工程验收为，其余由监理人主持。</w:t>
      </w:r>
    </w:p>
    <w:p>
      <w:pPr>
        <w:spacing w:line="400" w:lineRule="exact"/>
        <w:rPr>
          <w:rFonts w:ascii="宋体" w:hAnsi="宋体" w:cs="宋体"/>
          <w:szCs w:val="21"/>
        </w:rPr>
      </w:pPr>
      <w:bookmarkStart w:id="560" w:name="_Toc17740"/>
      <w:bookmarkStart w:id="561" w:name="_Toc19371"/>
      <w:r>
        <w:rPr>
          <w:rFonts w:hint="eastAsia" w:ascii="宋体" w:hAnsi="宋体" w:cs="宋体"/>
          <w:szCs w:val="21"/>
        </w:rPr>
        <w:t>17.3 单位工程验收</w:t>
      </w:r>
      <w:bookmarkEnd w:id="560"/>
      <w:bookmarkEnd w:id="561"/>
    </w:p>
    <w:p>
      <w:pPr>
        <w:spacing w:line="400" w:lineRule="exact"/>
        <w:ind w:firstLine="315" w:firstLineChars="150"/>
        <w:rPr>
          <w:rFonts w:ascii="宋体" w:hAnsi="宋体" w:cs="宋体"/>
          <w:color w:val="0000FF"/>
          <w:szCs w:val="21"/>
        </w:rPr>
      </w:pPr>
      <w:r>
        <w:rPr>
          <w:rFonts w:hint="eastAsia" w:ascii="宋体" w:hAnsi="宋体" w:cs="宋体"/>
          <w:szCs w:val="21"/>
        </w:rPr>
        <w:t>17.3.4 提前投人使用的单位工程包括：、、。</w:t>
      </w:r>
    </w:p>
    <w:p>
      <w:pPr>
        <w:spacing w:line="400" w:lineRule="exact"/>
        <w:rPr>
          <w:rFonts w:ascii="宋体" w:hAnsi="宋体" w:cs="宋体"/>
          <w:szCs w:val="21"/>
        </w:rPr>
      </w:pPr>
      <w:bookmarkStart w:id="562" w:name="_Toc21650"/>
      <w:bookmarkStart w:id="563" w:name="_Toc2695"/>
      <w:r>
        <w:rPr>
          <w:rFonts w:hint="eastAsia" w:ascii="宋体" w:hAnsi="宋体" w:cs="宋体"/>
          <w:szCs w:val="21"/>
        </w:rPr>
        <w:t>17.5 阶段验收</w:t>
      </w:r>
      <w:bookmarkEnd w:id="562"/>
      <w:bookmarkEnd w:id="563"/>
    </w:p>
    <w:p>
      <w:pPr>
        <w:spacing w:line="400" w:lineRule="exact"/>
        <w:ind w:firstLine="315" w:firstLineChars="150"/>
        <w:rPr>
          <w:rFonts w:ascii="宋体" w:hAnsi="宋体" w:cs="宋体"/>
          <w:szCs w:val="21"/>
        </w:rPr>
      </w:pPr>
      <w:r>
        <w:rPr>
          <w:rFonts w:hint="eastAsia" w:ascii="宋体" w:hAnsi="宋体" w:cs="宋体"/>
          <w:szCs w:val="21"/>
        </w:rPr>
        <w:t>17.5.1 本合同工程阶段验收类别包括：、、。</w:t>
      </w:r>
    </w:p>
    <w:p>
      <w:pPr>
        <w:spacing w:line="400" w:lineRule="exact"/>
        <w:rPr>
          <w:rFonts w:ascii="宋体" w:hAnsi="宋体" w:cs="宋体"/>
          <w:szCs w:val="21"/>
        </w:rPr>
      </w:pPr>
      <w:bookmarkStart w:id="564" w:name="_Toc28142"/>
      <w:bookmarkStart w:id="565" w:name="_Toc22996"/>
      <w:r>
        <w:rPr>
          <w:rFonts w:hint="eastAsia" w:ascii="宋体" w:hAnsi="宋体" w:cs="宋体"/>
          <w:szCs w:val="21"/>
        </w:rPr>
        <w:t>17.6 专项验收</w:t>
      </w:r>
      <w:bookmarkEnd w:id="564"/>
      <w:bookmarkEnd w:id="565"/>
    </w:p>
    <w:p>
      <w:pPr>
        <w:spacing w:line="400" w:lineRule="exact"/>
        <w:ind w:firstLine="315" w:firstLineChars="150"/>
        <w:rPr>
          <w:rFonts w:ascii="宋体" w:hAnsi="宋体" w:cs="宋体"/>
          <w:color w:val="0000FF"/>
          <w:szCs w:val="21"/>
        </w:rPr>
      </w:pPr>
      <w:r>
        <w:rPr>
          <w:rFonts w:hint="eastAsia" w:ascii="宋体" w:hAnsi="宋体" w:cs="宋体"/>
          <w:szCs w:val="21"/>
        </w:rPr>
        <w:t>17.6.2 本合同工程专项验收类别包括：、、。</w:t>
      </w:r>
    </w:p>
    <w:p>
      <w:pPr>
        <w:spacing w:line="400" w:lineRule="exact"/>
        <w:rPr>
          <w:rFonts w:ascii="宋体" w:hAnsi="宋体" w:cs="宋体"/>
          <w:szCs w:val="21"/>
        </w:rPr>
      </w:pPr>
      <w:bookmarkStart w:id="566" w:name="_Toc893"/>
      <w:bookmarkStart w:id="567" w:name="_Toc12728"/>
      <w:r>
        <w:rPr>
          <w:rFonts w:hint="eastAsia" w:ascii="宋体" w:hAnsi="宋体" w:cs="宋体"/>
          <w:szCs w:val="21"/>
        </w:rPr>
        <w:t>17.7 竣工验收</w:t>
      </w:r>
      <w:bookmarkEnd w:id="566"/>
      <w:bookmarkEnd w:id="567"/>
    </w:p>
    <w:p>
      <w:pPr>
        <w:spacing w:line="400" w:lineRule="exact"/>
        <w:ind w:firstLine="315" w:firstLineChars="150"/>
        <w:rPr>
          <w:rFonts w:ascii="宋体" w:hAnsi="宋体" w:cs="宋体"/>
          <w:color w:val="0000FF"/>
          <w:szCs w:val="21"/>
        </w:rPr>
      </w:pPr>
      <w:r>
        <w:rPr>
          <w:rFonts w:hint="eastAsia" w:ascii="宋体" w:hAnsi="宋体" w:cs="宋体"/>
          <w:szCs w:val="21"/>
        </w:rPr>
        <w:t>17.7.3 本工程（需要／不需要）竣工验收技术鉴定（蓄水安全鉴定）。</w:t>
      </w:r>
    </w:p>
    <w:bookmarkEnd w:id="557"/>
    <w:p>
      <w:pPr>
        <w:spacing w:line="400" w:lineRule="exact"/>
        <w:rPr>
          <w:rFonts w:ascii="宋体" w:hAnsi="宋体" w:cs="宋体"/>
          <w:szCs w:val="21"/>
        </w:rPr>
      </w:pPr>
      <w:bookmarkStart w:id="568" w:name="_Toc221951282"/>
      <w:bookmarkStart w:id="569" w:name="_Toc29321"/>
      <w:bookmarkStart w:id="570" w:name="_Toc8735"/>
      <w:r>
        <w:rPr>
          <w:rFonts w:hint="eastAsia" w:ascii="宋体" w:hAnsi="宋体" w:cs="宋体"/>
          <w:szCs w:val="21"/>
        </w:rPr>
        <w:t>17.8 施工期运行</w:t>
      </w:r>
      <w:bookmarkEnd w:id="568"/>
      <w:bookmarkEnd w:id="569"/>
      <w:bookmarkEnd w:id="570"/>
    </w:p>
    <w:p>
      <w:pPr>
        <w:spacing w:line="400" w:lineRule="exact"/>
        <w:ind w:firstLine="315" w:firstLineChars="150"/>
        <w:rPr>
          <w:rFonts w:ascii="宋体" w:hAnsi="宋体" w:cs="宋体"/>
          <w:szCs w:val="21"/>
        </w:rPr>
      </w:pPr>
      <w:bookmarkStart w:id="571" w:name="_Toc221951283"/>
      <w:r>
        <w:rPr>
          <w:rFonts w:hint="eastAsia" w:ascii="宋体" w:hAnsi="宋体" w:cs="宋体"/>
          <w:szCs w:val="21"/>
        </w:rPr>
        <w:t>17.8.1 需要在施工期运行的单位工程或工程设备为：</w:t>
      </w:r>
      <w:bookmarkEnd w:id="571"/>
      <w:r>
        <w:rPr>
          <w:rFonts w:hint="eastAsia" w:ascii="宋体" w:hAnsi="宋体" w:cs="宋体"/>
          <w:szCs w:val="21"/>
        </w:rPr>
        <w:t>、、。</w:t>
      </w:r>
    </w:p>
    <w:p>
      <w:pPr>
        <w:spacing w:line="400" w:lineRule="exact"/>
        <w:rPr>
          <w:rFonts w:ascii="宋体" w:hAnsi="宋体" w:cs="宋体"/>
          <w:szCs w:val="21"/>
        </w:rPr>
      </w:pPr>
      <w:bookmarkStart w:id="572" w:name="_Toc23444"/>
      <w:bookmarkStart w:id="573" w:name="_Toc221951285"/>
      <w:bookmarkStart w:id="574" w:name="_Toc18678"/>
      <w:r>
        <w:rPr>
          <w:rFonts w:hint="eastAsia" w:ascii="宋体" w:hAnsi="宋体" w:cs="宋体"/>
          <w:szCs w:val="21"/>
        </w:rPr>
        <w:t>17.9 试运行</w:t>
      </w:r>
      <w:bookmarkEnd w:id="572"/>
      <w:bookmarkEnd w:id="573"/>
      <w:bookmarkEnd w:id="574"/>
    </w:p>
    <w:p>
      <w:pPr>
        <w:spacing w:line="400" w:lineRule="exact"/>
        <w:ind w:right="248" w:firstLine="525" w:firstLineChars="250"/>
        <w:rPr>
          <w:rFonts w:ascii="宋体" w:hAnsi="宋体" w:cs="宋体"/>
          <w:szCs w:val="21"/>
        </w:rPr>
      </w:pPr>
      <w:bookmarkStart w:id="575" w:name="_Toc221951286"/>
      <w:r>
        <w:rPr>
          <w:rFonts w:hint="eastAsia" w:ascii="宋体" w:hAnsi="宋体" w:cs="宋体"/>
          <w:szCs w:val="21"/>
        </w:rPr>
        <w:t>17.9.1</w:t>
      </w:r>
      <w:bookmarkEnd w:id="575"/>
      <w:r>
        <w:rPr>
          <w:rFonts w:hint="eastAsia" w:ascii="宋体" w:hAnsi="宋体" w:cs="宋体"/>
          <w:szCs w:val="21"/>
        </w:rPr>
        <w:t>试运行的组织：；费用承担： 。</w:t>
      </w:r>
    </w:p>
    <w:p>
      <w:pPr>
        <w:keepNext/>
        <w:keepLines/>
        <w:spacing w:line="400" w:lineRule="exact"/>
        <w:outlineLvl w:val="3"/>
        <w:rPr>
          <w:rFonts w:ascii="宋体" w:hAnsi="宋体" w:cs="宋体"/>
          <w:szCs w:val="21"/>
        </w:rPr>
      </w:pPr>
      <w:bookmarkStart w:id="576" w:name="_Toc253"/>
      <w:bookmarkStart w:id="577" w:name="_Toc40390815"/>
      <w:bookmarkStart w:id="578" w:name="_Toc30356"/>
      <w:bookmarkStart w:id="579" w:name="_Toc10866"/>
      <w:bookmarkStart w:id="580" w:name="_Toc19689"/>
      <w:bookmarkStart w:id="581" w:name="_Toc708"/>
      <w:bookmarkStart w:id="582" w:name="_Toc15689"/>
      <w:bookmarkStart w:id="583" w:name="_Toc7979"/>
      <w:bookmarkStart w:id="584" w:name="_Toc259524391"/>
      <w:r>
        <w:rPr>
          <w:rFonts w:hint="eastAsia" w:ascii="宋体" w:hAnsi="宋体" w:cs="宋体"/>
          <w:szCs w:val="21"/>
        </w:rPr>
        <w:t>18  缺陷责任与保修责任</w:t>
      </w:r>
      <w:bookmarkEnd w:id="576"/>
      <w:bookmarkEnd w:id="577"/>
      <w:bookmarkEnd w:id="578"/>
      <w:bookmarkEnd w:id="579"/>
      <w:bookmarkEnd w:id="580"/>
      <w:bookmarkEnd w:id="581"/>
      <w:bookmarkEnd w:id="582"/>
      <w:bookmarkEnd w:id="583"/>
      <w:bookmarkEnd w:id="584"/>
    </w:p>
    <w:p>
      <w:pPr>
        <w:spacing w:line="400" w:lineRule="exact"/>
        <w:rPr>
          <w:rFonts w:ascii="宋体" w:hAnsi="宋体" w:cs="宋体"/>
          <w:szCs w:val="21"/>
        </w:rPr>
      </w:pPr>
      <w:bookmarkStart w:id="585" w:name="_Toc31017"/>
      <w:bookmarkStart w:id="586" w:name="_Toc18184"/>
      <w:r>
        <w:rPr>
          <w:rFonts w:hint="eastAsia" w:ascii="宋体" w:hAnsi="宋体" w:cs="宋体"/>
          <w:szCs w:val="21"/>
        </w:rPr>
        <w:t>18.1 缺陷责任期（工程质量保修期）的起算时间</w:t>
      </w:r>
      <w:bookmarkEnd w:id="585"/>
      <w:bookmarkEnd w:id="586"/>
    </w:p>
    <w:p>
      <w:pPr>
        <w:spacing w:line="400" w:lineRule="exact"/>
        <w:ind w:right="248" w:firstLine="525" w:firstLineChars="250"/>
        <w:rPr>
          <w:rFonts w:ascii="宋体" w:hAnsi="宋体" w:cs="宋体"/>
          <w:szCs w:val="21"/>
        </w:rPr>
      </w:pPr>
      <w:r>
        <w:rPr>
          <w:rFonts w:hint="eastAsia" w:ascii="宋体" w:hAnsi="宋体" w:cs="宋体"/>
          <w:szCs w:val="21"/>
        </w:rPr>
        <w:t>本工程缺陷责任期（工程质量保修期）计算如下： 。</w:t>
      </w:r>
    </w:p>
    <w:p>
      <w:pPr>
        <w:keepNext/>
        <w:keepLines/>
        <w:spacing w:line="400" w:lineRule="exact"/>
        <w:outlineLvl w:val="3"/>
        <w:rPr>
          <w:rFonts w:ascii="宋体" w:hAnsi="宋体" w:cs="宋体"/>
          <w:szCs w:val="21"/>
        </w:rPr>
      </w:pPr>
      <w:bookmarkStart w:id="587" w:name="_Toc8786"/>
      <w:bookmarkStart w:id="588" w:name="_Toc14967"/>
      <w:bookmarkStart w:id="589" w:name="_Toc222029542"/>
      <w:bookmarkStart w:id="590" w:name="_Toc14749"/>
      <w:bookmarkStart w:id="591" w:name="_Toc221951299"/>
      <w:bookmarkStart w:id="592" w:name="_Toc30296"/>
      <w:bookmarkStart w:id="593" w:name="_Toc222031044"/>
      <w:bookmarkStart w:id="594" w:name="_Toc222032711"/>
      <w:bookmarkStart w:id="595" w:name="_Toc27231"/>
      <w:bookmarkStart w:id="596" w:name="_Toc28113"/>
      <w:bookmarkStart w:id="597" w:name="_Toc222033893"/>
      <w:bookmarkStart w:id="598" w:name="_Toc40390816"/>
      <w:bookmarkStart w:id="599" w:name="_Toc10037"/>
      <w:bookmarkStart w:id="600" w:name="_Toc259524392"/>
      <w:bookmarkStart w:id="601" w:name="_Toc229305400"/>
      <w:r>
        <w:rPr>
          <w:rFonts w:hint="eastAsia" w:ascii="宋体" w:hAnsi="宋体" w:cs="宋体"/>
          <w:szCs w:val="21"/>
        </w:rPr>
        <w:t>19  保险</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rPr>
          <w:rFonts w:ascii="宋体" w:hAnsi="宋体" w:cs="宋体"/>
          <w:szCs w:val="21"/>
        </w:rPr>
      </w:pPr>
      <w:bookmarkStart w:id="602" w:name="_Toc8294"/>
      <w:bookmarkStart w:id="603" w:name="_Toc221951321"/>
      <w:bookmarkStart w:id="604" w:name="_Toc5846"/>
      <w:r>
        <w:rPr>
          <w:rFonts w:hint="eastAsia" w:ascii="宋体" w:hAnsi="宋体" w:cs="宋体"/>
          <w:szCs w:val="21"/>
        </w:rPr>
        <w:t>19.1  工程保险</w:t>
      </w:r>
      <w:bookmarkEnd w:id="602"/>
      <w:bookmarkEnd w:id="603"/>
      <w:bookmarkEnd w:id="604"/>
    </w:p>
    <w:p>
      <w:pPr>
        <w:spacing w:line="400" w:lineRule="exact"/>
        <w:ind w:right="248" w:firstLine="480"/>
        <w:rPr>
          <w:rFonts w:ascii="宋体" w:hAnsi="宋体" w:cs="宋体"/>
          <w:color w:val="000000"/>
          <w:szCs w:val="21"/>
        </w:rPr>
      </w:pPr>
      <w:bookmarkStart w:id="605" w:name="_Toc221951323"/>
      <w:r>
        <w:rPr>
          <w:rFonts w:hint="eastAsia" w:ascii="宋体" w:hAnsi="宋体" w:cs="宋体"/>
          <w:color w:val="000000"/>
          <w:szCs w:val="21"/>
        </w:rPr>
        <w:t xml:space="preserve">管道工程、建筑物工程一切险和（或）安装工程一切险投保人：；                        </w:t>
      </w:r>
    </w:p>
    <w:p>
      <w:pPr>
        <w:spacing w:line="400" w:lineRule="exact"/>
        <w:ind w:right="248" w:firstLine="480"/>
        <w:rPr>
          <w:rFonts w:ascii="宋体" w:hAnsi="宋体" w:cs="宋体"/>
          <w:color w:val="000000"/>
          <w:szCs w:val="21"/>
        </w:rPr>
      </w:pPr>
      <w:r>
        <w:rPr>
          <w:rFonts w:hint="eastAsia" w:ascii="宋体" w:hAnsi="宋体" w:cs="宋体"/>
          <w:color w:val="000000"/>
          <w:szCs w:val="21"/>
        </w:rPr>
        <w:t xml:space="preserve">投保内容：；                                                      </w:t>
      </w:r>
    </w:p>
    <w:p>
      <w:pPr>
        <w:spacing w:line="400" w:lineRule="exact"/>
        <w:ind w:right="248" w:firstLine="480"/>
        <w:rPr>
          <w:rFonts w:ascii="宋体" w:hAnsi="宋体" w:cs="宋体"/>
          <w:color w:val="000000"/>
          <w:szCs w:val="21"/>
        </w:rPr>
      </w:pPr>
      <w:r>
        <w:rPr>
          <w:rFonts w:hint="eastAsia" w:ascii="宋体" w:hAnsi="宋体" w:cs="宋体"/>
          <w:color w:val="000000"/>
          <w:szCs w:val="21"/>
        </w:rPr>
        <w:t>保险金额、保险费率和保险期限：。</w:t>
      </w:r>
    </w:p>
    <w:p>
      <w:pPr>
        <w:spacing w:line="400" w:lineRule="exact"/>
        <w:rPr>
          <w:rFonts w:ascii="宋体" w:hAnsi="宋体" w:cs="宋体"/>
          <w:szCs w:val="21"/>
        </w:rPr>
      </w:pPr>
      <w:bookmarkStart w:id="606" w:name="_Toc3292"/>
      <w:bookmarkStart w:id="607" w:name="_Toc32222"/>
      <w:r>
        <w:rPr>
          <w:rFonts w:hint="eastAsia" w:ascii="宋体" w:hAnsi="宋体" w:cs="宋体"/>
          <w:szCs w:val="21"/>
        </w:rPr>
        <w:t>19.4  第三者责任险</w:t>
      </w:r>
      <w:bookmarkEnd w:id="605"/>
      <w:bookmarkEnd w:id="606"/>
      <w:bookmarkEnd w:id="607"/>
    </w:p>
    <w:p>
      <w:pPr>
        <w:spacing w:line="400" w:lineRule="exact"/>
        <w:ind w:right="248" w:firstLine="480"/>
        <w:rPr>
          <w:rFonts w:ascii="宋体" w:hAnsi="宋体" w:cs="宋体"/>
          <w:color w:val="000000"/>
          <w:szCs w:val="21"/>
        </w:rPr>
      </w:pPr>
      <w:bookmarkStart w:id="608" w:name="_Toc221951325"/>
      <w:r>
        <w:rPr>
          <w:rFonts w:hint="eastAsia" w:ascii="宋体" w:hAnsi="宋体" w:cs="宋体"/>
          <w:color w:val="000000"/>
          <w:szCs w:val="21"/>
        </w:rPr>
        <w:t xml:space="preserve">19.4.2 第三者责任险保险费率：；                                       </w:t>
      </w:r>
    </w:p>
    <w:p>
      <w:pPr>
        <w:spacing w:line="400" w:lineRule="exact"/>
        <w:ind w:right="248" w:firstLine="480"/>
        <w:rPr>
          <w:rFonts w:ascii="宋体" w:hAnsi="宋体" w:cs="宋体"/>
          <w:color w:val="000000"/>
          <w:szCs w:val="21"/>
        </w:rPr>
      </w:pPr>
      <w:r>
        <w:rPr>
          <w:rFonts w:hint="eastAsia" w:ascii="宋体" w:hAnsi="宋体" w:cs="宋体"/>
          <w:color w:val="000000"/>
          <w:szCs w:val="21"/>
        </w:rPr>
        <w:t xml:space="preserve">第三者责任险保险金额：。 </w:t>
      </w:r>
    </w:p>
    <w:p>
      <w:pPr>
        <w:spacing w:line="400" w:lineRule="exact"/>
        <w:rPr>
          <w:rFonts w:ascii="宋体" w:hAnsi="宋体" w:cs="宋体"/>
          <w:szCs w:val="21"/>
        </w:rPr>
      </w:pPr>
      <w:bookmarkStart w:id="609" w:name="_Toc32089"/>
      <w:bookmarkStart w:id="610" w:name="_Toc4037"/>
      <w:r>
        <w:rPr>
          <w:rFonts w:hint="eastAsia" w:ascii="宋体" w:hAnsi="宋体" w:cs="宋体"/>
          <w:szCs w:val="21"/>
        </w:rPr>
        <w:t>19.5  其他保险</w:t>
      </w:r>
      <w:bookmarkEnd w:id="608"/>
      <w:bookmarkEnd w:id="609"/>
      <w:bookmarkEnd w:id="610"/>
    </w:p>
    <w:p>
      <w:pPr>
        <w:spacing w:line="400" w:lineRule="exact"/>
        <w:ind w:right="248" w:firstLine="480"/>
        <w:rPr>
          <w:rFonts w:ascii="宋体" w:hAnsi="宋体" w:cs="宋体"/>
          <w:color w:val="000000"/>
          <w:szCs w:val="21"/>
        </w:rPr>
      </w:pPr>
      <w:bookmarkStart w:id="611" w:name="_Toc221951327"/>
      <w:r>
        <w:rPr>
          <w:rFonts w:hint="eastAsia" w:ascii="宋体" w:hAnsi="宋体" w:cs="宋体"/>
          <w:color w:val="000000"/>
          <w:szCs w:val="21"/>
        </w:rPr>
        <w:t>需要投保的其他内容：；</w:t>
      </w:r>
    </w:p>
    <w:p>
      <w:pPr>
        <w:spacing w:line="400" w:lineRule="exact"/>
        <w:ind w:right="248" w:firstLine="480"/>
        <w:rPr>
          <w:rFonts w:ascii="宋体" w:hAnsi="宋体" w:cs="宋体"/>
          <w:color w:val="000000"/>
          <w:szCs w:val="21"/>
        </w:rPr>
      </w:pPr>
      <w:r>
        <w:rPr>
          <w:rFonts w:hint="eastAsia" w:ascii="宋体" w:hAnsi="宋体" w:cs="宋体"/>
          <w:color w:val="000000"/>
          <w:szCs w:val="21"/>
        </w:rPr>
        <w:t>保险金额、保险费率和保险期限：。</w:t>
      </w:r>
    </w:p>
    <w:p>
      <w:pPr>
        <w:spacing w:line="400" w:lineRule="exact"/>
        <w:rPr>
          <w:rFonts w:ascii="宋体" w:hAnsi="宋体" w:cs="宋体"/>
          <w:szCs w:val="21"/>
        </w:rPr>
      </w:pPr>
      <w:bookmarkStart w:id="612" w:name="_Toc4697"/>
      <w:bookmarkStart w:id="613" w:name="_Toc3874"/>
      <w:r>
        <w:rPr>
          <w:rFonts w:hint="eastAsia" w:ascii="宋体" w:hAnsi="宋体" w:cs="宋体"/>
          <w:szCs w:val="21"/>
        </w:rPr>
        <w:t>19.6  对各项保险的一般要求</w:t>
      </w:r>
      <w:bookmarkEnd w:id="611"/>
      <w:bookmarkEnd w:id="612"/>
      <w:bookmarkEnd w:id="613"/>
    </w:p>
    <w:p>
      <w:pPr>
        <w:spacing w:line="400" w:lineRule="exact"/>
        <w:ind w:firstLine="525" w:firstLineChars="250"/>
        <w:rPr>
          <w:rFonts w:ascii="宋体" w:hAnsi="宋体" w:cs="宋体"/>
          <w:szCs w:val="21"/>
        </w:rPr>
      </w:pPr>
      <w:bookmarkStart w:id="614" w:name="_Toc221951328"/>
      <w:r>
        <w:rPr>
          <w:rFonts w:hint="eastAsia" w:ascii="宋体" w:hAnsi="宋体" w:cs="宋体"/>
          <w:szCs w:val="21"/>
        </w:rPr>
        <w:t>19.6.1  保险凭证</w:t>
      </w:r>
      <w:bookmarkEnd w:id="614"/>
    </w:p>
    <w:p>
      <w:pPr>
        <w:spacing w:line="400" w:lineRule="exact"/>
        <w:ind w:right="248" w:firstLine="480"/>
        <w:rPr>
          <w:rFonts w:ascii="宋体" w:hAnsi="宋体" w:cs="宋体"/>
          <w:color w:val="000000"/>
          <w:szCs w:val="21"/>
        </w:rPr>
      </w:pPr>
      <w:bookmarkStart w:id="615" w:name="_Toc221951330"/>
      <w:r>
        <w:rPr>
          <w:rFonts w:hint="eastAsia" w:ascii="宋体" w:hAnsi="宋体" w:cs="宋体"/>
          <w:color w:val="000000"/>
          <w:szCs w:val="21"/>
        </w:rPr>
        <w:t>承包人提交保险凭证的期限：</w:t>
      </w:r>
      <w:bookmarkEnd w:id="615"/>
      <w:r>
        <w:rPr>
          <w:rFonts w:hint="eastAsia" w:ascii="宋体" w:hAnsi="宋体" w:cs="宋体"/>
          <w:color w:val="000000"/>
          <w:szCs w:val="21"/>
        </w:rPr>
        <w:t>；</w:t>
      </w:r>
    </w:p>
    <w:p>
      <w:pPr>
        <w:spacing w:line="400" w:lineRule="exact"/>
        <w:ind w:right="248" w:firstLine="480"/>
        <w:rPr>
          <w:rFonts w:ascii="宋体" w:hAnsi="宋体" w:cs="宋体"/>
          <w:color w:val="000000"/>
          <w:szCs w:val="21"/>
        </w:rPr>
      </w:pPr>
      <w:bookmarkStart w:id="616" w:name="_Toc221951329"/>
      <w:r>
        <w:rPr>
          <w:rFonts w:hint="eastAsia" w:ascii="宋体" w:hAnsi="宋体" w:cs="宋体"/>
          <w:color w:val="000000"/>
          <w:szCs w:val="21"/>
        </w:rPr>
        <w:t>保险条件：</w:t>
      </w:r>
      <w:bookmarkEnd w:id="616"/>
      <w:r>
        <w:rPr>
          <w:rFonts w:hint="eastAsia" w:ascii="宋体" w:hAnsi="宋体" w:cs="宋体"/>
          <w:color w:val="000000"/>
          <w:szCs w:val="21"/>
        </w:rPr>
        <w:t>。</w:t>
      </w:r>
    </w:p>
    <w:p>
      <w:pPr>
        <w:spacing w:line="400" w:lineRule="exact"/>
        <w:ind w:right="248" w:firstLine="480"/>
        <w:rPr>
          <w:rFonts w:ascii="宋体" w:hAnsi="宋体" w:cs="宋体"/>
          <w:color w:val="000000"/>
          <w:szCs w:val="21"/>
        </w:rPr>
      </w:pPr>
      <w:bookmarkStart w:id="617" w:name="_Toc221951331"/>
      <w:r>
        <w:rPr>
          <w:rFonts w:hint="eastAsia" w:ascii="宋体" w:hAnsi="宋体" w:cs="宋体"/>
          <w:color w:val="000000"/>
          <w:szCs w:val="21"/>
        </w:rPr>
        <w:t>19.6.4  保险金不足的补偿</w:t>
      </w:r>
      <w:bookmarkEnd w:id="617"/>
    </w:p>
    <w:p>
      <w:pPr>
        <w:spacing w:line="400" w:lineRule="exact"/>
        <w:ind w:left="899" w:leftChars="228" w:right="248" w:hanging="420" w:hangingChars="200"/>
        <w:rPr>
          <w:rFonts w:ascii="宋体" w:hAnsi="宋体" w:cs="宋体"/>
          <w:color w:val="000000"/>
          <w:szCs w:val="21"/>
        </w:rPr>
      </w:pPr>
      <w:bookmarkStart w:id="618" w:name="_Toc221951332"/>
      <w:r>
        <w:rPr>
          <w:rFonts w:hint="eastAsia" w:ascii="宋体" w:hAnsi="宋体" w:cs="宋体"/>
          <w:color w:val="000000"/>
          <w:szCs w:val="21"/>
        </w:rPr>
        <w:t>承包人负责补偿的范围与金额：</w:t>
      </w:r>
      <w:bookmarkEnd w:id="618"/>
      <w:r>
        <w:rPr>
          <w:rFonts w:hint="eastAsia" w:ascii="宋体" w:hAnsi="宋体" w:cs="宋体"/>
          <w:color w:val="000000"/>
          <w:szCs w:val="21"/>
        </w:rPr>
        <w:t>；</w:t>
      </w:r>
    </w:p>
    <w:p>
      <w:pPr>
        <w:spacing w:line="400" w:lineRule="exact"/>
        <w:ind w:left="899" w:leftChars="228" w:right="248" w:hanging="420" w:hangingChars="200"/>
        <w:rPr>
          <w:rFonts w:ascii="宋体" w:hAnsi="宋体" w:cs="宋体"/>
          <w:color w:val="000000"/>
          <w:szCs w:val="21"/>
          <w:u w:val="single"/>
        </w:rPr>
      </w:pPr>
      <w:r>
        <w:rPr>
          <w:rFonts w:hint="eastAsia" w:ascii="宋体" w:hAnsi="宋体" w:cs="宋体"/>
          <w:color w:val="000000"/>
          <w:szCs w:val="21"/>
        </w:rPr>
        <w:t xml:space="preserve">发包人负责补偿的范围与金额：。                                                                                                                                                                                                                                                                                                                                                                                                                                                                                                                                                                                                                                                                                                                                                                                                                                                                                                                                                                                                                                                                                                                                                                                                                                                                                                                                                                                                                                                                                                                                                                                                                                                                                                                                                                                                                                                                                                                                                                                                                                           </w:t>
      </w:r>
    </w:p>
    <w:p>
      <w:pPr>
        <w:keepNext/>
        <w:keepLines/>
        <w:spacing w:line="400" w:lineRule="exact"/>
        <w:outlineLvl w:val="3"/>
        <w:rPr>
          <w:rFonts w:ascii="宋体" w:hAnsi="宋体" w:cs="宋体"/>
          <w:szCs w:val="21"/>
        </w:rPr>
      </w:pPr>
      <w:bookmarkStart w:id="619" w:name="_Toc222031045"/>
      <w:bookmarkStart w:id="620" w:name="_Toc222032712"/>
      <w:bookmarkStart w:id="621" w:name="_Toc24399"/>
      <w:bookmarkStart w:id="622" w:name="_Toc7015"/>
      <w:bookmarkStart w:id="623" w:name="_Toc17499"/>
      <w:bookmarkStart w:id="624" w:name="_Toc40390817"/>
      <w:bookmarkStart w:id="625" w:name="_Toc222033894"/>
      <w:bookmarkStart w:id="626" w:name="_Toc5825"/>
      <w:bookmarkStart w:id="627" w:name="_Toc25366"/>
      <w:bookmarkStart w:id="628" w:name="_Toc259524393"/>
      <w:bookmarkStart w:id="629" w:name="_Toc31780"/>
      <w:bookmarkStart w:id="630" w:name="_Toc222029543"/>
      <w:bookmarkStart w:id="631" w:name="_Toc221951334"/>
      <w:bookmarkStart w:id="632" w:name="_Toc32323"/>
      <w:bookmarkStart w:id="633" w:name="_Toc229305401"/>
      <w:r>
        <w:rPr>
          <w:rFonts w:hint="eastAsia" w:ascii="宋体" w:hAnsi="宋体" w:cs="宋体"/>
          <w:szCs w:val="21"/>
        </w:rPr>
        <w:t>20  争议的解决</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spacing w:line="400" w:lineRule="exact"/>
        <w:ind w:firstLine="420" w:firstLineChars="200"/>
        <w:rPr>
          <w:rFonts w:ascii="宋体" w:hAnsi="宋体" w:cs="宋体"/>
          <w:szCs w:val="21"/>
        </w:rPr>
      </w:pPr>
      <w:r>
        <w:rPr>
          <w:rFonts w:hint="eastAsia" w:ascii="宋体" w:hAnsi="宋体" w:cs="宋体"/>
          <w:szCs w:val="21"/>
        </w:rPr>
        <w:t>合同当事人友好协商解决不成、不愿提请争议评审或不接受争议评审组意见的，约定的合同争议解决方式：</w:t>
      </w:r>
      <w:r>
        <w:rPr>
          <w:rFonts w:hint="eastAsia" w:ascii="宋体" w:hAnsi="宋体" w:cs="宋体"/>
          <w:szCs w:val="21"/>
          <w:u w:val="single"/>
        </w:rPr>
        <w:t xml:space="preserve">                      </w:t>
      </w:r>
      <w:r>
        <w:rPr>
          <w:rFonts w:hint="eastAsia" w:ascii="宋体" w:hAnsi="宋体" w:cs="宋体"/>
          <w:szCs w:val="21"/>
        </w:rPr>
        <w:t>。</w:t>
      </w:r>
    </w:p>
    <w:p>
      <w:pPr>
        <w:spacing w:line="400" w:lineRule="exact"/>
        <w:rPr>
          <w:rFonts w:ascii="宋体" w:hAnsi="宋体"/>
          <w:sz w:val="20"/>
          <w:szCs w:val="20"/>
        </w:rPr>
      </w:pPr>
    </w:p>
    <w:p>
      <w:pPr>
        <w:spacing w:line="360" w:lineRule="auto"/>
        <w:ind w:left="120" w:leftChars="57" w:right="248" w:firstLine="420" w:firstLineChars="200"/>
        <w:rPr>
          <w:rFonts w:ascii="宋体"/>
          <w:color w:val="000000"/>
          <w:szCs w:val="21"/>
        </w:rPr>
      </w:pPr>
      <w:r>
        <w:rPr>
          <w:rFonts w:hint="eastAsia"/>
          <w:szCs w:val="24"/>
        </w:rPr>
        <w:t>　　　　　　　　　　　　　　　　</w:t>
      </w:r>
    </w:p>
    <w:p>
      <w:pPr>
        <w:widowControl/>
        <w:jc w:val="left"/>
        <w:rPr>
          <w:rFonts w:ascii="黑体" w:hAnsi="黑体" w:eastAsia="黑体"/>
          <w:kern w:val="44"/>
          <w:sz w:val="28"/>
          <w:szCs w:val="28"/>
        </w:rPr>
      </w:pPr>
      <w:bookmarkStart w:id="634" w:name="_Toc229408522"/>
      <w:bookmarkStart w:id="635" w:name="_Toc229305402"/>
      <w:bookmarkStart w:id="636" w:name="_Toc256000094"/>
      <w:r>
        <w:rPr>
          <w:rFonts w:ascii="黑体" w:hAnsi="黑体" w:eastAsia="黑体"/>
          <w:b/>
          <w:bCs/>
          <w:sz w:val="28"/>
          <w:szCs w:val="28"/>
        </w:rPr>
        <w:br w:type="page"/>
      </w:r>
    </w:p>
    <w:p>
      <w:pPr>
        <w:keepNext/>
        <w:keepLines/>
        <w:spacing w:before="260" w:after="260" w:line="416" w:lineRule="auto"/>
        <w:jc w:val="center"/>
        <w:outlineLvl w:val="1"/>
        <w:rPr>
          <w:rFonts w:ascii="宋体" w:hAnsi="宋体"/>
          <w:bCs/>
          <w:sz w:val="32"/>
          <w:szCs w:val="32"/>
        </w:rPr>
      </w:pPr>
      <w:bookmarkStart w:id="637" w:name="_Toc85370416"/>
      <w:r>
        <w:rPr>
          <w:rFonts w:hint="eastAsia" w:ascii="宋体" w:hAnsi="宋体"/>
          <w:bCs/>
          <w:sz w:val="32"/>
          <w:szCs w:val="32"/>
        </w:rPr>
        <w:t>第三节  合同附件格式</w:t>
      </w:r>
      <w:bookmarkEnd w:id="634"/>
      <w:bookmarkEnd w:id="635"/>
      <w:bookmarkEnd w:id="636"/>
      <w:bookmarkEnd w:id="637"/>
      <w:bookmarkStart w:id="638" w:name="_Toc168476287"/>
      <w:bookmarkStart w:id="639" w:name="_Toc144974827"/>
      <w:bookmarkStart w:id="640" w:name="_Toc168475884"/>
    </w:p>
    <w:p>
      <w:pPr>
        <w:rPr>
          <w:rFonts w:ascii="宋体"/>
          <w:sz w:val="24"/>
          <w:szCs w:val="20"/>
        </w:rPr>
      </w:pPr>
      <w:r>
        <w:rPr>
          <w:rFonts w:hint="eastAsia" w:ascii="宋体"/>
          <w:sz w:val="24"/>
          <w:szCs w:val="20"/>
        </w:rPr>
        <w:t>附件一：</w:t>
      </w:r>
      <w:bookmarkEnd w:id="638"/>
      <w:bookmarkEnd w:id="639"/>
      <w:bookmarkEnd w:id="640"/>
      <w:r>
        <w:rPr>
          <w:rFonts w:hint="eastAsia" w:ascii="宋体"/>
          <w:sz w:val="24"/>
          <w:szCs w:val="20"/>
        </w:rPr>
        <w:t xml:space="preserve"> </w:t>
      </w:r>
    </w:p>
    <w:p>
      <w:pPr>
        <w:spacing w:line="440" w:lineRule="exact"/>
        <w:jc w:val="center"/>
        <w:rPr>
          <w:rFonts w:ascii="黑体" w:eastAsia="黑体"/>
          <w:sz w:val="28"/>
          <w:szCs w:val="28"/>
        </w:rPr>
      </w:pPr>
      <w:r>
        <w:rPr>
          <w:rFonts w:hint="eastAsia" w:ascii="黑体" w:eastAsia="黑体"/>
          <w:sz w:val="28"/>
          <w:szCs w:val="28"/>
        </w:rPr>
        <w:t xml:space="preserve">合 同 协 议 书 </w:t>
      </w:r>
    </w:p>
    <w:p>
      <w:pPr>
        <w:spacing w:line="440" w:lineRule="exact"/>
        <w:ind w:firstLine="462" w:firstLineChars="220"/>
        <w:rPr>
          <w:szCs w:val="21"/>
        </w:rPr>
      </w:pP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szCs w:val="21"/>
          <w:u w:val="single"/>
        </w:rPr>
        <w:t xml:space="preserve">     </w:t>
      </w:r>
      <w:r>
        <w:rPr>
          <w:szCs w:val="21"/>
        </w:rPr>
        <w:t>标段的施标。发包人和承包人共同达成如下协议。</w:t>
      </w:r>
    </w:p>
    <w:p>
      <w:pPr>
        <w:spacing w:line="300" w:lineRule="auto"/>
        <w:ind w:firstLine="420" w:firstLineChars="200"/>
        <w:rPr>
          <w:szCs w:val="24"/>
        </w:rPr>
      </w:pPr>
      <w:bookmarkStart w:id="641" w:name="_Toc144974828"/>
      <w:bookmarkStart w:id="642" w:name="_Toc168476288"/>
      <w:bookmarkStart w:id="643" w:name="_Toc168475885"/>
      <w:r>
        <w:rPr>
          <w:szCs w:val="24"/>
        </w:rPr>
        <w:t>1. 本协议书与下列文件一起构成合同文件：</w:t>
      </w:r>
      <w:bookmarkEnd w:id="641"/>
      <w:bookmarkEnd w:id="642"/>
      <w:bookmarkEnd w:id="643"/>
    </w:p>
    <w:p>
      <w:pPr>
        <w:spacing w:line="300" w:lineRule="auto"/>
        <w:ind w:firstLine="315" w:firstLineChars="150"/>
        <w:rPr>
          <w:szCs w:val="24"/>
        </w:rPr>
      </w:pPr>
      <w:r>
        <w:rPr>
          <w:szCs w:val="24"/>
        </w:rPr>
        <w:t>（1）中标通知书；</w:t>
      </w:r>
    </w:p>
    <w:p>
      <w:pPr>
        <w:spacing w:line="300" w:lineRule="auto"/>
        <w:ind w:firstLine="315" w:firstLineChars="150"/>
        <w:rPr>
          <w:szCs w:val="24"/>
        </w:rPr>
      </w:pPr>
      <w:r>
        <w:rPr>
          <w:szCs w:val="24"/>
        </w:rPr>
        <w:t>（2）投标函及投标函附录；</w:t>
      </w:r>
    </w:p>
    <w:p>
      <w:pPr>
        <w:spacing w:line="300" w:lineRule="auto"/>
        <w:ind w:firstLine="315" w:firstLineChars="150"/>
        <w:rPr>
          <w:szCs w:val="24"/>
        </w:rPr>
      </w:pPr>
      <w:r>
        <w:rPr>
          <w:szCs w:val="24"/>
        </w:rPr>
        <w:t>（3）专用合同条款；</w:t>
      </w:r>
    </w:p>
    <w:p>
      <w:pPr>
        <w:spacing w:line="300" w:lineRule="auto"/>
        <w:ind w:firstLine="315" w:firstLineChars="150"/>
        <w:rPr>
          <w:szCs w:val="24"/>
        </w:rPr>
      </w:pPr>
      <w:r>
        <w:rPr>
          <w:szCs w:val="24"/>
        </w:rPr>
        <w:t>（4）通用合同条款；</w:t>
      </w:r>
    </w:p>
    <w:p>
      <w:pPr>
        <w:spacing w:line="300" w:lineRule="auto"/>
        <w:ind w:firstLine="315" w:firstLineChars="150"/>
        <w:rPr>
          <w:szCs w:val="24"/>
        </w:rPr>
      </w:pPr>
      <w:r>
        <w:rPr>
          <w:szCs w:val="24"/>
        </w:rPr>
        <w:t>（5）技术标准和要求</w:t>
      </w:r>
      <w:r>
        <w:rPr>
          <w:rFonts w:hint="eastAsia"/>
          <w:szCs w:val="24"/>
        </w:rPr>
        <w:t>（合同技术条款）</w:t>
      </w:r>
      <w:r>
        <w:rPr>
          <w:szCs w:val="24"/>
        </w:rPr>
        <w:t>；</w:t>
      </w:r>
    </w:p>
    <w:p>
      <w:pPr>
        <w:spacing w:line="300" w:lineRule="auto"/>
        <w:ind w:firstLine="315" w:firstLineChars="150"/>
        <w:rPr>
          <w:szCs w:val="24"/>
        </w:rPr>
      </w:pPr>
      <w:r>
        <w:rPr>
          <w:szCs w:val="24"/>
        </w:rPr>
        <w:t>（6）图纸；</w:t>
      </w:r>
    </w:p>
    <w:p>
      <w:pPr>
        <w:spacing w:line="300" w:lineRule="auto"/>
        <w:ind w:firstLine="315" w:firstLineChars="150"/>
        <w:rPr>
          <w:szCs w:val="24"/>
        </w:rPr>
      </w:pPr>
      <w:r>
        <w:rPr>
          <w:szCs w:val="24"/>
        </w:rPr>
        <w:t>（7）已标价工程量清单；</w:t>
      </w:r>
    </w:p>
    <w:p>
      <w:pPr>
        <w:spacing w:line="300" w:lineRule="auto"/>
        <w:ind w:firstLine="315" w:firstLineChars="150"/>
        <w:rPr>
          <w:szCs w:val="24"/>
        </w:rPr>
      </w:pPr>
      <w:r>
        <w:rPr>
          <w:szCs w:val="24"/>
        </w:rPr>
        <w:t>（8）其他合同文件。</w:t>
      </w:r>
    </w:p>
    <w:p>
      <w:pPr>
        <w:spacing w:line="300" w:lineRule="auto"/>
        <w:ind w:firstLine="420" w:firstLineChars="200"/>
        <w:rPr>
          <w:szCs w:val="24"/>
        </w:rPr>
      </w:pPr>
      <w:bookmarkStart w:id="644" w:name="_Toc168476289"/>
      <w:bookmarkStart w:id="645" w:name="_Toc168475886"/>
      <w:bookmarkStart w:id="646" w:name="_Toc144974829"/>
      <w:r>
        <w:rPr>
          <w:szCs w:val="24"/>
        </w:rPr>
        <w:t>2. 上述文件互相补充和解释，如有不明确或不一致之处，以合同约定次序在先者为准。</w:t>
      </w:r>
      <w:bookmarkEnd w:id="644"/>
      <w:bookmarkEnd w:id="645"/>
      <w:bookmarkEnd w:id="646"/>
    </w:p>
    <w:p>
      <w:pPr>
        <w:spacing w:line="300" w:lineRule="auto"/>
        <w:ind w:firstLine="420" w:firstLineChars="200"/>
        <w:rPr>
          <w:szCs w:val="24"/>
        </w:rPr>
      </w:pPr>
      <w:r>
        <w:rPr>
          <w:szCs w:val="24"/>
        </w:rPr>
        <w:t>3. 签约合同价：人民币（大写）</w:t>
      </w:r>
      <w:r>
        <w:rPr>
          <w:szCs w:val="24"/>
          <w:u w:val="single"/>
        </w:rPr>
        <w:t xml:space="preserve">          </w:t>
      </w:r>
      <w:r>
        <w:rPr>
          <w:szCs w:val="24"/>
        </w:rPr>
        <w:t>元（¥</w:t>
      </w:r>
      <w:r>
        <w:rPr>
          <w:szCs w:val="24"/>
          <w:u w:val="single"/>
        </w:rPr>
        <w:t xml:space="preserve">    </w:t>
      </w:r>
      <w:r>
        <w:rPr>
          <w:rFonts w:hint="eastAsia"/>
          <w:szCs w:val="24"/>
          <w:u w:val="single"/>
        </w:rPr>
        <w:t xml:space="preserve"> </w:t>
      </w:r>
      <w:r>
        <w:rPr>
          <w:szCs w:val="24"/>
          <w:u w:val="single"/>
        </w:rPr>
        <w:t xml:space="preserve">    </w:t>
      </w:r>
      <w:r>
        <w:rPr>
          <w:szCs w:val="24"/>
        </w:rPr>
        <w:t>）。</w:t>
      </w:r>
    </w:p>
    <w:p>
      <w:pPr>
        <w:spacing w:line="300" w:lineRule="auto"/>
        <w:ind w:firstLine="420" w:firstLineChars="200"/>
        <w:rPr>
          <w:szCs w:val="24"/>
          <w:u w:val="single"/>
        </w:rPr>
      </w:pPr>
      <w:r>
        <w:rPr>
          <w:szCs w:val="24"/>
        </w:rPr>
        <w:t xml:space="preserve">4. </w:t>
      </w:r>
      <w:r>
        <w:rPr>
          <w:rFonts w:hint="eastAsia"/>
          <w:szCs w:val="24"/>
        </w:rPr>
        <w:t>承包人</w:t>
      </w:r>
      <w:r>
        <w:rPr>
          <w:szCs w:val="24"/>
        </w:rPr>
        <w:t>项目经理：</w:t>
      </w:r>
      <w:r>
        <w:rPr>
          <w:szCs w:val="24"/>
          <w:u w:val="single"/>
        </w:rPr>
        <w:t xml:space="preserve">                </w:t>
      </w:r>
      <w:r>
        <w:rPr>
          <w:szCs w:val="24"/>
        </w:rPr>
        <w:t>。</w:t>
      </w:r>
    </w:p>
    <w:p>
      <w:pPr>
        <w:spacing w:line="300" w:lineRule="auto"/>
        <w:ind w:firstLine="420" w:firstLineChars="200"/>
        <w:rPr>
          <w:szCs w:val="24"/>
        </w:rPr>
      </w:pPr>
      <w:r>
        <w:rPr>
          <w:szCs w:val="24"/>
        </w:rPr>
        <w:t>5. 工程质量符合</w:t>
      </w:r>
      <w:r>
        <w:rPr>
          <w:szCs w:val="24"/>
          <w:u w:val="single"/>
        </w:rPr>
        <w:t xml:space="preserve">    </w:t>
      </w:r>
      <w:r>
        <w:rPr>
          <w:rFonts w:hint="eastAsia"/>
          <w:szCs w:val="24"/>
          <w:u w:val="single"/>
        </w:rPr>
        <w:t xml:space="preserve"> </w:t>
      </w:r>
      <w:r>
        <w:rPr>
          <w:szCs w:val="24"/>
          <w:u w:val="single"/>
        </w:rPr>
        <w:t xml:space="preserve">        </w:t>
      </w:r>
      <w:r>
        <w:rPr>
          <w:szCs w:val="24"/>
        </w:rPr>
        <w:t>标准。</w:t>
      </w:r>
    </w:p>
    <w:p>
      <w:pPr>
        <w:spacing w:line="300" w:lineRule="auto"/>
        <w:ind w:firstLine="420" w:firstLineChars="200"/>
        <w:rPr>
          <w:szCs w:val="24"/>
        </w:rPr>
      </w:pPr>
      <w:r>
        <w:rPr>
          <w:szCs w:val="24"/>
        </w:rPr>
        <w:t>6. 承包人承诺按合同约定承担工程的实施、完成及缺陷修复。</w:t>
      </w:r>
    </w:p>
    <w:p>
      <w:pPr>
        <w:spacing w:line="300" w:lineRule="auto"/>
        <w:ind w:firstLine="420" w:firstLineChars="200"/>
        <w:rPr>
          <w:szCs w:val="24"/>
        </w:rPr>
      </w:pPr>
      <w:r>
        <w:rPr>
          <w:szCs w:val="24"/>
        </w:rPr>
        <w:t>7. 发包人承诺按合同约定的条件、时间和方式向承包人支付合同价款。</w:t>
      </w:r>
    </w:p>
    <w:p>
      <w:pPr>
        <w:spacing w:line="300" w:lineRule="auto"/>
        <w:ind w:firstLine="315" w:firstLineChars="150"/>
        <w:rPr>
          <w:szCs w:val="24"/>
        </w:rPr>
      </w:pPr>
      <w:r>
        <w:rPr>
          <w:szCs w:val="24"/>
        </w:rPr>
        <w:t>8. 承包人</w:t>
      </w:r>
      <w:r>
        <w:rPr>
          <w:rFonts w:hint="eastAsia"/>
          <w:szCs w:val="24"/>
        </w:rPr>
        <w:t>承诺执行</w:t>
      </w:r>
      <w:r>
        <w:rPr>
          <w:szCs w:val="24"/>
        </w:rPr>
        <w:t>监理人开工</w:t>
      </w:r>
      <w:r>
        <w:rPr>
          <w:rFonts w:hint="eastAsia"/>
          <w:szCs w:val="24"/>
        </w:rPr>
        <w:t>通知</w:t>
      </w:r>
      <w:r>
        <w:rPr>
          <w:szCs w:val="24"/>
        </w:rPr>
        <w:t>，</w:t>
      </w:r>
      <w:r>
        <w:rPr>
          <w:rFonts w:hint="eastAsia"/>
          <w:szCs w:val="24"/>
        </w:rPr>
        <w:t>计划</w:t>
      </w:r>
      <w:r>
        <w:rPr>
          <w:szCs w:val="24"/>
        </w:rPr>
        <w:t>工期为</w:t>
      </w:r>
      <w:r>
        <w:rPr>
          <w:szCs w:val="24"/>
          <w:u w:val="single"/>
        </w:rPr>
        <w:t xml:space="preserve">    </w:t>
      </w:r>
      <w:r>
        <w:rPr>
          <w:szCs w:val="24"/>
        </w:rPr>
        <w:t>天。</w:t>
      </w:r>
    </w:p>
    <w:p>
      <w:pPr>
        <w:spacing w:line="300" w:lineRule="auto"/>
        <w:ind w:firstLine="315" w:firstLineChars="150"/>
        <w:rPr>
          <w:szCs w:val="24"/>
        </w:rPr>
      </w:pPr>
      <w:r>
        <w:rPr>
          <w:szCs w:val="24"/>
        </w:rPr>
        <w:t>9. 本协议书一式</w:t>
      </w:r>
      <w:r>
        <w:rPr>
          <w:szCs w:val="24"/>
          <w:u w:val="single"/>
        </w:rPr>
        <w:t xml:space="preserve">     </w:t>
      </w:r>
      <w:r>
        <w:rPr>
          <w:szCs w:val="24"/>
        </w:rPr>
        <w:t>份，合同双方各执一份。</w:t>
      </w:r>
    </w:p>
    <w:p>
      <w:pPr>
        <w:spacing w:line="300" w:lineRule="auto"/>
        <w:ind w:firstLine="420" w:firstLineChars="200"/>
        <w:rPr>
          <w:szCs w:val="24"/>
        </w:rPr>
      </w:pPr>
      <w:bookmarkStart w:id="647" w:name="_Toc168476290"/>
      <w:bookmarkStart w:id="648" w:name="_Toc168475887"/>
      <w:bookmarkStart w:id="649" w:name="_Toc144974830"/>
      <w:r>
        <w:rPr>
          <w:szCs w:val="24"/>
        </w:rPr>
        <w:t>10. 合同未尽事宜，双方另行签订补充协议。补充协议是合同的组成部分。</w:t>
      </w:r>
      <w:bookmarkEnd w:id="647"/>
      <w:bookmarkEnd w:id="648"/>
      <w:bookmarkEnd w:id="649"/>
    </w:p>
    <w:p>
      <w:pPr>
        <w:spacing w:line="300" w:lineRule="auto"/>
        <w:rPr>
          <w:szCs w:val="24"/>
        </w:rPr>
      </w:pPr>
      <w:r>
        <w:rPr>
          <w:szCs w:val="24"/>
        </w:rPr>
        <w:t>发包人：</w:t>
      </w:r>
      <w:r>
        <w:rPr>
          <w:szCs w:val="24"/>
          <w:u w:val="single"/>
        </w:rPr>
        <w:t xml:space="preserve">     </w:t>
      </w:r>
      <w:r>
        <w:rPr>
          <w:rFonts w:hint="eastAsia"/>
          <w:szCs w:val="24"/>
          <w:u w:val="single"/>
        </w:rPr>
        <w:t xml:space="preserve">          </w:t>
      </w:r>
      <w:r>
        <w:rPr>
          <w:szCs w:val="24"/>
          <w:u w:val="single"/>
        </w:rPr>
        <w:t xml:space="preserve"> </w:t>
      </w:r>
      <w:r>
        <w:rPr>
          <w:szCs w:val="24"/>
        </w:rPr>
        <w:t>（盖单位章）</w:t>
      </w:r>
      <w:r>
        <w:rPr>
          <w:rFonts w:hint="eastAsia"/>
          <w:szCs w:val="24"/>
        </w:rPr>
        <w:t xml:space="preserve">     </w:t>
      </w:r>
      <w:r>
        <w:rPr>
          <w:szCs w:val="24"/>
        </w:rPr>
        <w:t>承包人：</w:t>
      </w:r>
      <w:r>
        <w:rPr>
          <w:szCs w:val="24"/>
          <w:u w:val="single"/>
        </w:rPr>
        <w:t xml:space="preserve">  </w:t>
      </w:r>
      <w:r>
        <w:rPr>
          <w:rFonts w:hint="eastAsia"/>
          <w:szCs w:val="24"/>
          <w:u w:val="single"/>
        </w:rPr>
        <w:t xml:space="preserve">                 </w:t>
      </w:r>
      <w:r>
        <w:rPr>
          <w:szCs w:val="24"/>
        </w:rPr>
        <w:t>（盖单位章）</w:t>
      </w:r>
    </w:p>
    <w:p>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widowControl/>
        <w:jc w:val="left"/>
        <w:rPr>
          <w:rFonts w:ascii="宋体" w:eastAsia="黑体" w:cs="宋体"/>
          <w:sz w:val="24"/>
          <w:szCs w:val="20"/>
        </w:rPr>
      </w:pPr>
      <w:bookmarkStart w:id="650" w:name="_Toc168476291"/>
      <w:bookmarkStart w:id="651" w:name="_Toc168475888"/>
      <w:r>
        <w:rPr>
          <w:szCs w:val="24"/>
        </w:rPr>
        <w:br w:type="page"/>
      </w:r>
    </w:p>
    <w:p>
      <w:pPr>
        <w:rPr>
          <w:rFonts w:ascii="宋体"/>
          <w:sz w:val="24"/>
          <w:szCs w:val="20"/>
        </w:rPr>
      </w:pPr>
      <w:r>
        <w:rPr>
          <w:rFonts w:hint="eastAsia" w:ascii="宋体"/>
          <w:sz w:val="24"/>
          <w:szCs w:val="20"/>
        </w:rPr>
        <w:t>附件二：</w:t>
      </w:r>
      <w:bookmarkEnd w:id="650"/>
      <w:bookmarkEnd w:id="651"/>
      <w:r>
        <w:rPr>
          <w:rFonts w:hint="eastAsia" w:ascii="宋体"/>
          <w:sz w:val="24"/>
          <w:szCs w:val="20"/>
        </w:rPr>
        <w:t xml:space="preserve"> </w:t>
      </w:r>
    </w:p>
    <w:p>
      <w:pPr>
        <w:spacing w:line="440" w:lineRule="exact"/>
        <w:jc w:val="center"/>
        <w:rPr>
          <w:rFonts w:eastAsia="黑体"/>
          <w:sz w:val="28"/>
          <w:szCs w:val="28"/>
        </w:rPr>
      </w:pPr>
      <w:r>
        <w:rPr>
          <w:rFonts w:hint="eastAsia" w:eastAsia="黑体"/>
          <w:sz w:val="28"/>
          <w:szCs w:val="28"/>
        </w:rPr>
        <w:t xml:space="preserve">履 约 担 保 </w:t>
      </w: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（发包人名称）：</w:t>
      </w:r>
    </w:p>
    <w:p>
      <w:pPr>
        <w:spacing w:line="440" w:lineRule="exact"/>
        <w:ind w:firstLine="525" w:firstLineChars="250"/>
        <w:rPr>
          <w:szCs w:val="21"/>
        </w:rPr>
      </w:pPr>
      <w:r>
        <w:rPr>
          <w:szCs w:val="21"/>
        </w:rPr>
        <w:t>鉴于</w:t>
      </w:r>
      <w:r>
        <w:rPr>
          <w:szCs w:val="21"/>
          <w:u w:val="single"/>
        </w:rPr>
        <w:t xml:space="preserve">                </w:t>
      </w:r>
      <w:r>
        <w:rPr>
          <w:szCs w:val="21"/>
        </w:rPr>
        <w:t>（发包人名称</w:t>
      </w:r>
      <w:r>
        <w:rPr>
          <w:rFonts w:hint="eastAsia"/>
          <w:szCs w:val="21"/>
        </w:rPr>
        <w:t>，</w:t>
      </w:r>
      <w:r>
        <w:rPr>
          <w:szCs w:val="21"/>
        </w:rPr>
        <w:t>以下简称“发包人”）接受</w:t>
      </w:r>
      <w:r>
        <w:rPr>
          <w:szCs w:val="21"/>
          <w:u w:val="single"/>
        </w:rPr>
        <w:t xml:space="preserve">       </w:t>
      </w:r>
      <w:r>
        <w:rPr>
          <w:szCs w:val="21"/>
        </w:rPr>
        <w:t>（承包人名称</w:t>
      </w:r>
      <w:r>
        <w:rPr>
          <w:rFonts w:hint="eastAsia"/>
          <w:szCs w:val="21"/>
        </w:rPr>
        <w:t>，</w:t>
      </w:r>
      <w:r>
        <w:rPr>
          <w:szCs w:val="21"/>
        </w:rPr>
        <w:t>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递交的</w:t>
      </w:r>
      <w:r>
        <w:rPr>
          <w:szCs w:val="21"/>
          <w:u w:val="single"/>
        </w:rPr>
        <w:t xml:space="preserve">         </w:t>
      </w:r>
      <w:r>
        <w:rPr>
          <w:szCs w:val="21"/>
        </w:rPr>
        <w:t>（项目名称）</w:t>
      </w:r>
      <w:r>
        <w:rPr>
          <w:szCs w:val="21"/>
          <w:u w:val="single"/>
        </w:rPr>
        <w:t xml:space="preserve">          </w:t>
      </w:r>
      <w:r>
        <w:rPr>
          <w:rFonts w:hint="eastAsia"/>
          <w:szCs w:val="21"/>
          <w:u w:val="single"/>
        </w:rPr>
        <w:t>（</w:t>
      </w:r>
      <w:r>
        <w:rPr>
          <w:szCs w:val="21"/>
        </w:rPr>
        <w:t>标段</w:t>
      </w:r>
      <w:r>
        <w:rPr>
          <w:rFonts w:hint="eastAsia"/>
          <w:szCs w:val="21"/>
        </w:rPr>
        <w:t>名称）</w:t>
      </w:r>
      <w:r>
        <w:rPr>
          <w:szCs w:val="21"/>
        </w:rPr>
        <w:t>的投标</w:t>
      </w:r>
      <w:r>
        <w:rPr>
          <w:rFonts w:hint="eastAsia"/>
          <w:szCs w:val="21"/>
        </w:rPr>
        <w:t>文件</w:t>
      </w:r>
      <w:r>
        <w:rPr>
          <w:szCs w:val="21"/>
        </w:rPr>
        <w:t>。我</w:t>
      </w:r>
      <w:r>
        <w:rPr>
          <w:rFonts w:hint="eastAsia"/>
          <w:szCs w:val="21"/>
        </w:rPr>
        <w:t>方</w:t>
      </w:r>
      <w:r>
        <w:rPr>
          <w:szCs w:val="21"/>
        </w:rPr>
        <w:t>愿意无条件地、不可撤销地就承包人履行与你方订立的合同，向你方提供担保。</w:t>
      </w:r>
    </w:p>
    <w:p>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pPr>
        <w:spacing w:line="440" w:lineRule="exact"/>
        <w:ind w:firstLine="420" w:firstLineChars="200"/>
        <w:rPr>
          <w:szCs w:val="21"/>
        </w:rPr>
      </w:pPr>
      <w:r>
        <w:rPr>
          <w:szCs w:val="21"/>
        </w:rPr>
        <w:t>2. 担保有效期自发包人与承包人签订的合同生效之日起至发包人签发</w:t>
      </w:r>
      <w:r>
        <w:rPr>
          <w:rFonts w:hint="eastAsia"/>
          <w:szCs w:val="21"/>
        </w:rPr>
        <w:t>工程完工证书之日</w:t>
      </w:r>
      <w:r>
        <w:rPr>
          <w:szCs w:val="21"/>
        </w:rPr>
        <w:t>止。</w:t>
      </w:r>
    </w:p>
    <w:p>
      <w:pPr>
        <w:spacing w:line="440" w:lineRule="exact"/>
        <w:ind w:firstLine="420" w:firstLineChars="200"/>
        <w:rPr>
          <w:szCs w:val="21"/>
        </w:rPr>
      </w:pPr>
      <w:r>
        <w:rPr>
          <w:szCs w:val="21"/>
        </w:rPr>
        <w:t>3. 在本</w:t>
      </w:r>
      <w:r>
        <w:rPr>
          <w:rFonts w:hint="eastAsia"/>
          <w:szCs w:val="21"/>
        </w:rPr>
        <w:t>担保</w:t>
      </w:r>
      <w:r>
        <w:rPr>
          <w:szCs w:val="21"/>
        </w:rPr>
        <w:t>有效期内，因承包人违反合同约定的义务给你方造成经济损失时，我</w:t>
      </w:r>
      <w:r>
        <w:rPr>
          <w:rFonts w:hint="eastAsia"/>
          <w:szCs w:val="21"/>
        </w:rPr>
        <w:t>方</w:t>
      </w:r>
      <w:r>
        <w:rPr>
          <w:szCs w:val="21"/>
        </w:rPr>
        <w:t>在收到你方以书面形式提出的在担保金额内的赔偿要求后，无条件地在７天内予以支付。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ind w:firstLine="4819" w:firstLineChars="2295"/>
        <w:rPr>
          <w:szCs w:val="21"/>
        </w:rPr>
      </w:pPr>
      <w:r>
        <w:rPr>
          <w:rFonts w:hint="eastAsia"/>
          <w:szCs w:val="21"/>
        </w:rPr>
        <w:t>担 保 人</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440" w:lineRule="exact"/>
        <w:ind w:firstLine="4819" w:firstLineChars="2295"/>
        <w:rPr>
          <w:szCs w:val="21"/>
        </w:rPr>
      </w:pPr>
      <w:r>
        <w:rPr>
          <w:szCs w:val="21"/>
        </w:rPr>
        <w:t>法定代表人或</w:t>
      </w:r>
      <w:r>
        <w:rPr>
          <w:rFonts w:hint="eastAsia"/>
          <w:szCs w:val="21"/>
        </w:rPr>
        <w:t>委托代理</w:t>
      </w:r>
      <w:r>
        <w:rPr>
          <w:szCs w:val="21"/>
        </w:rPr>
        <w:t>人：</w:t>
      </w:r>
      <w:r>
        <w:rPr>
          <w:szCs w:val="21"/>
          <w:u w:val="single"/>
        </w:rPr>
        <w:t xml:space="preserve">       </w:t>
      </w:r>
      <w:r>
        <w:rPr>
          <w:szCs w:val="21"/>
        </w:rPr>
        <w:t>（签字）</w:t>
      </w:r>
    </w:p>
    <w:p>
      <w:pPr>
        <w:spacing w:line="440" w:lineRule="exact"/>
        <w:ind w:firstLine="4819" w:firstLineChars="2295"/>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ab/>
      </w:r>
      <w:r>
        <w:rPr>
          <w:rFonts w:hint="eastAsia"/>
          <w:szCs w:val="21"/>
          <w:u w:val="single"/>
        </w:rPr>
        <w:t xml:space="preserve">    </w:t>
      </w:r>
      <w:r>
        <w:rPr>
          <w:szCs w:val="21"/>
          <w:u w:val="single"/>
        </w:rPr>
        <w:tab/>
      </w:r>
    </w:p>
    <w:p>
      <w:pPr>
        <w:spacing w:line="440" w:lineRule="exact"/>
        <w:ind w:firstLine="4819" w:firstLineChars="2295"/>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u w:val="single"/>
        </w:rPr>
        <w:t xml:space="preserve">    </w:t>
      </w:r>
      <w:r>
        <w:rPr>
          <w:szCs w:val="21"/>
          <w:u w:val="single"/>
        </w:rPr>
        <w:tab/>
      </w:r>
      <w:r>
        <w:rPr>
          <w:szCs w:val="21"/>
          <w:u w:val="single"/>
        </w:rPr>
        <w:tab/>
      </w:r>
    </w:p>
    <w:p>
      <w:pPr>
        <w:spacing w:line="440" w:lineRule="exact"/>
        <w:ind w:firstLine="4819" w:firstLineChars="2295"/>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819" w:firstLineChars="2295"/>
        <w:rPr>
          <w:szCs w:val="21"/>
        </w:rPr>
      </w:pPr>
      <w:r>
        <w:rPr>
          <w:rFonts w:hint="eastAsia"/>
          <w:szCs w:val="21"/>
        </w:rPr>
        <w:t>传</w:t>
      </w:r>
      <w:r>
        <w:rPr>
          <w:szCs w:val="21"/>
        </w:rPr>
        <w:t xml:space="preserve">    </w:t>
      </w:r>
      <w:r>
        <w:rPr>
          <w:rFonts w:hint="eastAsia"/>
          <w:szCs w:val="21"/>
        </w:rPr>
        <w:t>真</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819" w:firstLineChars="2295"/>
        <w:rPr>
          <w:szCs w:val="21"/>
        </w:rPr>
      </w:pP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w:t>
      </w:r>
    </w:p>
    <w:p>
      <w:pPr>
        <w:spacing w:line="440" w:lineRule="exact"/>
        <w:jc w:val="left"/>
        <w:rPr>
          <w:sz w:val="15"/>
          <w:szCs w:val="15"/>
        </w:rPr>
      </w:pPr>
      <w:r>
        <w:rPr>
          <w:rFonts w:hint="eastAsia"/>
          <w:sz w:val="15"/>
          <w:szCs w:val="15"/>
        </w:rPr>
        <w:t>注：委托代理人应附授权委托书。</w:t>
      </w:r>
    </w:p>
    <w:p>
      <w:pPr>
        <w:widowControl/>
        <w:jc w:val="left"/>
        <w:rPr>
          <w:rFonts w:ascii="宋体" w:eastAsia="黑体" w:cs="宋体"/>
          <w:sz w:val="24"/>
          <w:szCs w:val="20"/>
        </w:rPr>
      </w:pPr>
      <w:bookmarkStart w:id="652" w:name="_Toc168476292"/>
      <w:bookmarkStart w:id="653" w:name="_Toc168475889"/>
      <w:bookmarkStart w:id="654" w:name="_Toc144974833"/>
      <w:r>
        <w:rPr>
          <w:szCs w:val="24"/>
        </w:rPr>
        <w:br w:type="page"/>
      </w:r>
    </w:p>
    <w:p>
      <w:pPr>
        <w:rPr>
          <w:rFonts w:ascii="宋体"/>
          <w:sz w:val="24"/>
          <w:szCs w:val="20"/>
        </w:rPr>
      </w:pPr>
      <w:r>
        <w:rPr>
          <w:rFonts w:hint="eastAsia" w:ascii="宋体"/>
          <w:sz w:val="24"/>
          <w:szCs w:val="20"/>
        </w:rPr>
        <w:t>附件三：</w:t>
      </w:r>
      <w:bookmarkEnd w:id="652"/>
      <w:bookmarkEnd w:id="653"/>
      <w:bookmarkEnd w:id="654"/>
      <w:r>
        <w:rPr>
          <w:rFonts w:hint="eastAsia" w:ascii="宋体"/>
          <w:sz w:val="24"/>
          <w:szCs w:val="20"/>
        </w:rPr>
        <w:t xml:space="preserve"> </w:t>
      </w: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w:t>
      </w:r>
      <w:r>
        <w:rPr>
          <w:rFonts w:eastAsia="黑体"/>
          <w:sz w:val="28"/>
          <w:szCs w:val="28"/>
        </w:rPr>
        <w:t>保函</w:t>
      </w: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pPr>
        <w:spacing w:line="440" w:lineRule="exact"/>
        <w:ind w:firstLine="420" w:firstLineChars="200"/>
        <w:rPr>
          <w:szCs w:val="21"/>
        </w:rPr>
      </w:pPr>
      <w:r>
        <w:rPr>
          <w:szCs w:val="21"/>
        </w:rPr>
        <w:t>根据</w:t>
      </w:r>
      <w:r>
        <w:rPr>
          <w:szCs w:val="21"/>
          <w:u w:val="single"/>
        </w:rPr>
        <w:t xml:space="preserve">         </w:t>
      </w:r>
      <w:r>
        <w:rPr>
          <w:szCs w:val="21"/>
        </w:rPr>
        <w:t>（承包人名称</w:t>
      </w:r>
      <w:r>
        <w:rPr>
          <w:rFonts w:hint="eastAsia"/>
          <w:szCs w:val="21"/>
        </w:rPr>
        <w:t>，</w:t>
      </w:r>
      <w:r>
        <w:rPr>
          <w:szCs w:val="21"/>
        </w:rPr>
        <w:t>以下称“承包人”）与</w:t>
      </w:r>
      <w:r>
        <w:rPr>
          <w:szCs w:val="21"/>
          <w:u w:val="single"/>
        </w:rPr>
        <w:t xml:space="preserve">                </w:t>
      </w:r>
      <w:r>
        <w:rPr>
          <w:szCs w:val="21"/>
        </w:rPr>
        <w:t>（发包人名称</w:t>
      </w:r>
      <w:r>
        <w:rPr>
          <w:rFonts w:hint="eastAsia"/>
          <w:szCs w:val="21"/>
        </w:rPr>
        <w:t>，</w:t>
      </w:r>
      <w:r>
        <w:rPr>
          <w:szCs w:val="21"/>
        </w:rPr>
        <w:t>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 xml:space="preserve"> </w:t>
      </w:r>
      <w:r>
        <w:rPr>
          <w:rFonts w:hint="eastAsia"/>
          <w:szCs w:val="21"/>
        </w:rPr>
        <w:t>（</w:t>
      </w:r>
      <w:r>
        <w:rPr>
          <w:szCs w:val="21"/>
        </w:rPr>
        <w:t>标段</w:t>
      </w:r>
      <w:r>
        <w:rPr>
          <w:rFonts w:hint="eastAsia"/>
          <w:szCs w:val="21"/>
        </w:rPr>
        <w:t>名称）</w:t>
      </w:r>
      <w:r>
        <w:rPr>
          <w:szCs w:val="21"/>
        </w:rPr>
        <w:t>合同</w:t>
      </w:r>
      <w:r>
        <w:rPr>
          <w:rFonts w:hint="eastAsia"/>
          <w:szCs w:val="21"/>
        </w:rPr>
        <w:t>协议书</w:t>
      </w:r>
      <w:r>
        <w:rPr>
          <w:szCs w:val="21"/>
        </w:rPr>
        <w:t>，承包人按约定的金额向发包人提交一份预付款担保，即有权得到发包人支付相等金额的预付款。我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进度付款证书说明已完全扣清止。</w:t>
      </w:r>
    </w:p>
    <w:p>
      <w:pPr>
        <w:spacing w:line="440" w:lineRule="exact"/>
        <w:ind w:firstLine="420" w:firstLineChars="200"/>
        <w:rPr>
          <w:szCs w:val="21"/>
        </w:rPr>
      </w:pPr>
      <w:r>
        <w:rPr>
          <w:szCs w:val="21"/>
        </w:rPr>
        <w:t>3. 在本</w:t>
      </w:r>
      <w:r>
        <w:rPr>
          <w:rFonts w:hint="eastAsia"/>
          <w:szCs w:val="21"/>
        </w:rPr>
        <w:t>担保</w:t>
      </w:r>
      <w:r>
        <w:rPr>
          <w:szCs w:val="21"/>
        </w:rPr>
        <w:t>有效期内，因承包人违反合同约定的义务而要求收回预付款</w:t>
      </w:r>
      <w:r>
        <w:rPr>
          <w:rFonts w:hint="eastAsia"/>
          <w:szCs w:val="21"/>
        </w:rPr>
        <w:t>时</w:t>
      </w:r>
      <w:r>
        <w:rPr>
          <w:szCs w:val="21"/>
        </w:rPr>
        <w:t>，我</w:t>
      </w:r>
      <w:r>
        <w:rPr>
          <w:rFonts w:hint="eastAsia"/>
          <w:szCs w:val="21"/>
        </w:rPr>
        <w:t>方</w:t>
      </w:r>
      <w:r>
        <w:rPr>
          <w:szCs w:val="21"/>
        </w:rPr>
        <w:t>在收到你方的书面通知后，</w:t>
      </w:r>
      <w:r>
        <w:rPr>
          <w:rFonts w:hint="eastAsia"/>
          <w:szCs w:val="21"/>
        </w:rPr>
        <w:t>无条件地</w:t>
      </w:r>
      <w:r>
        <w:rPr>
          <w:szCs w:val="21"/>
        </w:rPr>
        <w:t>在７天内予以支付。但本</w:t>
      </w:r>
      <w:r>
        <w:rPr>
          <w:rFonts w:hint="eastAsia"/>
          <w:szCs w:val="21"/>
        </w:rPr>
        <w:t>担保</w:t>
      </w:r>
      <w:r>
        <w:rPr>
          <w:szCs w:val="21"/>
        </w:rPr>
        <w:t>的担保金额，在任何时候不应超过预付款金额减去发包人按合同约定在向承包人签发的进度付款证书中</w:t>
      </w:r>
      <w:r>
        <w:rPr>
          <w:rFonts w:hint="eastAsia"/>
          <w:szCs w:val="21"/>
        </w:rPr>
        <w:t>已</w:t>
      </w:r>
      <w:r>
        <w:rPr>
          <w:szCs w:val="21"/>
        </w:rPr>
        <w:t>扣</w:t>
      </w:r>
      <w:r>
        <w:rPr>
          <w:rFonts w:hint="eastAsia"/>
          <w:szCs w:val="21"/>
        </w:rPr>
        <w:t>回</w:t>
      </w:r>
      <w:r>
        <w:rPr>
          <w:szCs w:val="21"/>
        </w:rPr>
        <w:t>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ind w:firstLine="4819" w:firstLineChars="2295"/>
        <w:rPr>
          <w:szCs w:val="21"/>
        </w:rPr>
      </w:pPr>
      <w:r>
        <w:rPr>
          <w:rFonts w:hint="eastAsia"/>
          <w:szCs w:val="21"/>
        </w:rPr>
        <w:t>担 保 人</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440" w:lineRule="exact"/>
        <w:ind w:firstLine="4819" w:firstLineChars="2295"/>
        <w:rPr>
          <w:szCs w:val="21"/>
        </w:rPr>
      </w:pPr>
      <w:r>
        <w:rPr>
          <w:szCs w:val="21"/>
        </w:rPr>
        <w:t>法定代表人或</w:t>
      </w:r>
      <w:r>
        <w:rPr>
          <w:rFonts w:hint="eastAsia"/>
          <w:szCs w:val="21"/>
        </w:rPr>
        <w:t>委托代理</w:t>
      </w:r>
      <w:r>
        <w:rPr>
          <w:szCs w:val="21"/>
        </w:rPr>
        <w:t>人：</w:t>
      </w:r>
      <w:r>
        <w:rPr>
          <w:szCs w:val="21"/>
          <w:u w:val="single"/>
        </w:rPr>
        <w:t xml:space="preserve">       </w:t>
      </w:r>
      <w:r>
        <w:rPr>
          <w:szCs w:val="21"/>
        </w:rPr>
        <w:t>（签字）</w:t>
      </w:r>
    </w:p>
    <w:p>
      <w:pPr>
        <w:spacing w:line="440" w:lineRule="exact"/>
        <w:ind w:firstLine="4819" w:firstLineChars="2295"/>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ab/>
      </w:r>
      <w:r>
        <w:rPr>
          <w:rFonts w:hint="eastAsia"/>
          <w:szCs w:val="21"/>
          <w:u w:val="single"/>
        </w:rPr>
        <w:t xml:space="preserve">    </w:t>
      </w:r>
      <w:r>
        <w:rPr>
          <w:szCs w:val="21"/>
          <w:u w:val="single"/>
        </w:rPr>
        <w:tab/>
      </w:r>
    </w:p>
    <w:p>
      <w:pPr>
        <w:spacing w:line="440" w:lineRule="exact"/>
        <w:ind w:firstLine="4819" w:firstLineChars="2295"/>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u w:val="single"/>
        </w:rPr>
        <w:t xml:space="preserve">    </w:t>
      </w:r>
      <w:r>
        <w:rPr>
          <w:szCs w:val="21"/>
          <w:u w:val="single"/>
        </w:rPr>
        <w:tab/>
      </w:r>
      <w:r>
        <w:rPr>
          <w:szCs w:val="21"/>
          <w:u w:val="single"/>
        </w:rPr>
        <w:tab/>
      </w:r>
    </w:p>
    <w:p>
      <w:pPr>
        <w:spacing w:line="440" w:lineRule="exact"/>
        <w:ind w:firstLine="4819" w:firstLineChars="2295"/>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819" w:firstLineChars="2295"/>
        <w:rPr>
          <w:szCs w:val="21"/>
        </w:rPr>
      </w:pPr>
      <w:r>
        <w:rPr>
          <w:rFonts w:hint="eastAsia"/>
          <w:szCs w:val="21"/>
        </w:rPr>
        <w:t>传</w:t>
      </w:r>
      <w:r>
        <w:rPr>
          <w:szCs w:val="21"/>
        </w:rPr>
        <w:t xml:space="preserve">    </w:t>
      </w:r>
      <w:r>
        <w:rPr>
          <w:rFonts w:hint="eastAsia"/>
          <w:szCs w:val="21"/>
        </w:rPr>
        <w:t>真</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819" w:firstLineChars="2295"/>
        <w:rPr>
          <w:szCs w:val="21"/>
        </w:rPr>
      </w:pP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w:t>
      </w: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sz w:val="24"/>
          <w:szCs w:val="24"/>
        </w:rPr>
      </w:pPr>
    </w:p>
    <w:p>
      <w:pPr>
        <w:widowControl/>
        <w:jc w:val="left"/>
        <w:rPr>
          <w:rFonts w:asciiTheme="minorEastAsia" w:hAnsiTheme="minorEastAsia" w:eastAsiaTheme="minorEastAsia"/>
          <w:kern w:val="44"/>
          <w:sz w:val="32"/>
          <w:szCs w:val="32"/>
        </w:rPr>
      </w:pPr>
      <w:bookmarkStart w:id="655" w:name="_Toc100846873"/>
      <w:r>
        <w:rPr>
          <w:rFonts w:asciiTheme="minorEastAsia" w:hAnsiTheme="minorEastAsia" w:eastAsiaTheme="minorEastAsia"/>
          <w:b/>
          <w:bCs/>
          <w:sz w:val="32"/>
          <w:szCs w:val="32"/>
        </w:rPr>
        <w:br w:type="page"/>
      </w:r>
    </w:p>
    <w:p>
      <w:pPr>
        <w:pStyle w:val="4"/>
        <w:spacing w:line="360" w:lineRule="auto"/>
        <w:jc w:val="center"/>
        <w:rPr>
          <w:rFonts w:hint="eastAsia" w:asciiTheme="minorEastAsia" w:hAnsiTheme="minorEastAsia" w:eastAsiaTheme="minorEastAsia"/>
          <w:b w:val="0"/>
          <w:bCs w:val="0"/>
          <w:sz w:val="32"/>
          <w:szCs w:val="32"/>
        </w:rPr>
        <w:sectPr>
          <w:pgSz w:w="11900" w:h="16838"/>
          <w:pgMar w:top="1077" w:right="1134" w:bottom="1077" w:left="1134" w:header="720" w:footer="720" w:gutter="0"/>
          <w:cols w:space="720" w:num="1"/>
          <w:docGrid w:type="lines" w:linePitch="360" w:charSpace="0"/>
        </w:sectPr>
      </w:pPr>
    </w:p>
    <w:p>
      <w:pPr>
        <w:pStyle w:val="4"/>
        <w:spacing w:line="360" w:lineRule="auto"/>
        <w:jc w:val="center"/>
        <w:rPr>
          <w:rFonts w:asciiTheme="minorEastAsia" w:hAnsiTheme="minorEastAsia" w:eastAsiaTheme="minorEastAsia"/>
          <w:b w:val="0"/>
          <w:bCs w:val="0"/>
          <w:sz w:val="32"/>
          <w:szCs w:val="32"/>
        </w:rPr>
      </w:pPr>
      <w:r>
        <w:rPr>
          <w:rFonts w:hint="eastAsia" w:asciiTheme="minorEastAsia" w:hAnsiTheme="minorEastAsia" w:eastAsiaTheme="minorEastAsia"/>
          <w:b w:val="0"/>
          <w:bCs w:val="0"/>
          <w:sz w:val="32"/>
          <w:szCs w:val="32"/>
        </w:rPr>
        <w:t>第五章   工程量清单</w:t>
      </w:r>
      <w:bookmarkEnd w:id="153"/>
      <w:bookmarkEnd w:id="154"/>
      <w:bookmarkEnd w:id="655"/>
    </w:p>
    <w:p>
      <w:pPr>
        <w:jc w:val="center"/>
        <w:rPr>
          <w:rFonts w:cs="宋体" w:asciiTheme="minorEastAsia" w:hAnsiTheme="minorEastAsia" w:eastAsiaTheme="minorEastAsia"/>
          <w:b/>
          <w:bCs/>
          <w:sz w:val="24"/>
        </w:rPr>
      </w:pPr>
    </w:p>
    <w:p>
      <w:pPr>
        <w:jc w:val="center"/>
        <w:rPr>
          <w:rFonts w:cs="宋体" w:asciiTheme="minorEastAsia" w:hAnsiTheme="minorEastAsia" w:eastAsiaTheme="minorEastAsia"/>
          <w:b/>
          <w:bCs/>
          <w:sz w:val="24"/>
        </w:rPr>
      </w:pPr>
    </w:p>
    <w:p>
      <w:pPr>
        <w:jc w:val="center"/>
        <w:rPr>
          <w:rFonts w:cs="宋体" w:asciiTheme="minorEastAsia" w:hAnsiTheme="minorEastAsia" w:eastAsiaTheme="minorEastAsia"/>
          <w:b/>
          <w:bCs/>
          <w:sz w:val="24"/>
        </w:rPr>
      </w:pP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另附 </w:t>
      </w: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jc w:val="center"/>
        <w:outlineLvl w:val="0"/>
        <w:rPr>
          <w:rFonts w:cs="宋体" w:asciiTheme="minorEastAsia" w:hAnsiTheme="minorEastAsia" w:eastAsiaTheme="minorEastAsia"/>
          <w:sz w:val="24"/>
        </w:rPr>
      </w:pPr>
      <w:r>
        <w:rPr>
          <w:rFonts w:hint="eastAsia" w:cs="宋体" w:asciiTheme="minorEastAsia" w:hAnsiTheme="minorEastAsia" w:eastAsiaTheme="minorEastAsia"/>
          <w:b/>
          <w:bCs/>
          <w:sz w:val="30"/>
          <w:szCs w:val="30"/>
        </w:rPr>
        <w:br w:type="page"/>
      </w:r>
      <w:bookmarkStart w:id="656" w:name="_Toc2243"/>
      <w:bookmarkStart w:id="657" w:name="_Toc6700"/>
      <w:bookmarkStart w:id="658" w:name="_Toc100846874"/>
      <w:r>
        <w:rPr>
          <w:rFonts w:hint="eastAsia" w:asciiTheme="minorEastAsia" w:hAnsiTheme="minorEastAsia" w:eastAsiaTheme="minorEastAsia"/>
          <w:b/>
          <w:bCs/>
          <w:sz w:val="30"/>
          <w:szCs w:val="30"/>
        </w:rPr>
        <w:t>第六章  技术要求</w:t>
      </w:r>
      <w:bookmarkEnd w:id="656"/>
      <w:bookmarkEnd w:id="657"/>
      <w:bookmarkEnd w:id="658"/>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依据技术文件要求，本项目的材料、设备、施工必须达到现行中华人民共和国及省市行业的一切有关法规、规范的要求。</w:t>
      </w:r>
    </w:p>
    <w:p>
      <w:pPr>
        <w:jc w:val="center"/>
        <w:rPr>
          <w:rFonts w:asciiTheme="minorEastAsia" w:hAnsiTheme="minorEastAsia" w:eastAsiaTheme="minorEastAsia"/>
          <w:b/>
          <w:bCs/>
          <w:sz w:val="30"/>
          <w:szCs w:val="30"/>
        </w:rPr>
      </w:pPr>
      <w:r>
        <w:rPr>
          <w:rFonts w:cs="宋体" w:asciiTheme="minorEastAsia" w:hAnsiTheme="minorEastAsia" w:eastAsiaTheme="minorEastAsia"/>
          <w:bCs/>
          <w:sz w:val="24"/>
          <w:szCs w:val="24"/>
        </w:rPr>
        <w:br w:type="page"/>
      </w:r>
    </w:p>
    <w:p>
      <w:pPr>
        <w:jc w:val="center"/>
        <w:outlineLvl w:val="0"/>
        <w:rPr>
          <w:rFonts w:asciiTheme="minorEastAsia" w:hAnsiTheme="minorEastAsia" w:eastAsiaTheme="minorEastAsia"/>
          <w:b/>
          <w:bCs/>
          <w:sz w:val="30"/>
          <w:szCs w:val="30"/>
        </w:rPr>
      </w:pPr>
      <w:bookmarkStart w:id="659" w:name="_Toc100846875"/>
      <w:bookmarkStart w:id="660" w:name="_Toc2316"/>
      <w:bookmarkStart w:id="661" w:name="_Toc17513"/>
      <w:r>
        <w:rPr>
          <w:rFonts w:hint="eastAsia" w:asciiTheme="minorEastAsia" w:hAnsiTheme="minorEastAsia" w:eastAsiaTheme="minorEastAsia"/>
          <w:b/>
          <w:bCs/>
          <w:sz w:val="30"/>
          <w:szCs w:val="30"/>
        </w:rPr>
        <w:t>第七章  响应文件格式</w:t>
      </w:r>
      <w:bookmarkEnd w:id="659"/>
      <w:bookmarkEnd w:id="660"/>
      <w:bookmarkEnd w:id="661"/>
    </w:p>
    <w:p>
      <w:pPr>
        <w:jc w:val="center"/>
        <w:rPr>
          <w:rFonts w:asciiTheme="minorEastAsia" w:hAnsiTheme="minorEastAsia" w:eastAsiaTheme="minorEastAsia"/>
          <w:b/>
          <w:bCs/>
          <w:kern w:val="0"/>
          <w:sz w:val="36"/>
          <w:szCs w:val="36"/>
        </w:rPr>
      </w:pPr>
      <w:r>
        <w:rPr>
          <w:rFonts w:hint="eastAsia" w:asciiTheme="minorEastAsia" w:hAnsiTheme="minorEastAsia" w:eastAsiaTheme="minorEastAsia"/>
          <w:b/>
          <w:bCs/>
          <w:kern w:val="0"/>
          <w:sz w:val="36"/>
          <w:szCs w:val="36"/>
        </w:rPr>
        <w:t xml:space="preserve">                                                                                          </w:t>
      </w:r>
    </w:p>
    <w:p>
      <w:pPr>
        <w:spacing w:line="360" w:lineRule="auto"/>
        <w:ind w:left="0" w:leftChars="0" w:firstLine="0" w:firstLineChars="0"/>
        <w:jc w:val="center"/>
        <w:rPr>
          <w:rFonts w:hint="default" w:cs="宋体" w:asciiTheme="minorEastAsia" w:hAnsiTheme="minorEastAsia" w:eastAsiaTheme="minorEastAsia"/>
          <w:b/>
          <w:bCs/>
          <w:sz w:val="24"/>
          <w:lang w:val="en-US" w:eastAsia="zh-CN"/>
        </w:rPr>
      </w:pPr>
      <w:r>
        <w:rPr>
          <w:rFonts w:hint="eastAsia" w:cs="宋体" w:asciiTheme="minorEastAsia" w:hAnsiTheme="minorEastAsia" w:eastAsiaTheme="minorEastAsia"/>
          <w:b/>
          <w:bCs/>
          <w:sz w:val="24"/>
          <w:lang w:val="en-US" w:eastAsia="zh-CN"/>
        </w:rPr>
        <w:t>响应文件格式</w:t>
      </w:r>
    </w:p>
    <w:p>
      <w:pPr>
        <w:spacing w:line="360" w:lineRule="auto"/>
        <w:rPr>
          <w:rFonts w:cs="宋体" w:asciiTheme="minorEastAsia" w:hAnsiTheme="minorEastAsia" w:eastAsiaTheme="minorEastAsia"/>
          <w:sz w:val="24"/>
          <w:u w:val="single"/>
        </w:rPr>
      </w:pPr>
    </w:p>
    <w:p>
      <w:pPr>
        <w:jc w:val="center"/>
        <w:rPr>
          <w:rFonts w:cs="宋体" w:asciiTheme="minorEastAsia" w:hAnsiTheme="minorEastAsia" w:eastAsiaTheme="minorEastAsia"/>
          <w:sz w:val="44"/>
          <w:szCs w:val="44"/>
        </w:rPr>
      </w:pPr>
      <w:bookmarkStart w:id="662" w:name="_Toc24054"/>
      <w:bookmarkStart w:id="663" w:name="_Toc15366"/>
      <w:bookmarkStart w:id="664" w:name="_Toc28974"/>
      <w:r>
        <w:rPr>
          <w:rFonts w:hint="eastAsia" w:cs="宋体" w:asciiTheme="minorEastAsia" w:hAnsiTheme="minorEastAsia" w:eastAsiaTheme="minorEastAsia"/>
          <w:sz w:val="28"/>
          <w:szCs w:val="28"/>
          <w:u w:val="single"/>
        </w:rPr>
        <w:t>（项目名称）</w:t>
      </w:r>
      <w:bookmarkEnd w:id="662"/>
      <w:bookmarkEnd w:id="663"/>
      <w:bookmarkEnd w:id="664"/>
    </w:p>
    <w:p>
      <w:pPr>
        <w:jc w:val="center"/>
        <w:rPr>
          <w:rFonts w:cs="宋体" w:asciiTheme="minorEastAsia" w:hAnsiTheme="minorEastAsia" w:eastAsiaTheme="minorEastAsia"/>
          <w:sz w:val="44"/>
          <w:szCs w:val="44"/>
        </w:rPr>
      </w:pPr>
      <w:bookmarkStart w:id="665" w:name="_Toc13495"/>
      <w:bookmarkStart w:id="666" w:name="_Toc14209"/>
      <w:bookmarkStart w:id="667" w:name="_Toc26224"/>
      <w:r>
        <w:rPr>
          <w:rFonts w:hint="eastAsia" w:cs="宋体" w:asciiTheme="minorEastAsia" w:hAnsiTheme="minorEastAsia" w:eastAsiaTheme="minorEastAsia"/>
          <w:sz w:val="44"/>
          <w:szCs w:val="44"/>
        </w:rPr>
        <w:t>响  应  文  件</w:t>
      </w:r>
      <w:bookmarkEnd w:id="665"/>
      <w:bookmarkEnd w:id="666"/>
      <w:bookmarkEnd w:id="667"/>
    </w:p>
    <w:p>
      <w:pPr>
        <w:spacing w:line="360" w:lineRule="auto"/>
        <w:ind w:firstLine="2760" w:firstLineChars="1150"/>
        <w:rPr>
          <w:rFonts w:cs="宋体" w:asciiTheme="minorEastAsia" w:hAnsiTheme="minorEastAsia" w:eastAsiaTheme="minorEastAsia"/>
          <w:sz w:val="24"/>
        </w:rPr>
      </w:pPr>
    </w:p>
    <w:p>
      <w:pPr>
        <w:spacing w:line="360" w:lineRule="auto"/>
        <w:ind w:firstLine="2760" w:firstLineChars="1150"/>
        <w:rPr>
          <w:rFonts w:cs="宋体" w:asciiTheme="minorEastAsia" w:hAnsiTheme="minorEastAsia" w:eastAsiaTheme="minorEastAsia"/>
          <w:sz w:val="24"/>
        </w:rPr>
      </w:pPr>
    </w:p>
    <w:p>
      <w:pPr>
        <w:spacing w:line="360" w:lineRule="auto"/>
        <w:ind w:firstLine="2760" w:firstLineChars="1150"/>
        <w:rPr>
          <w:rFonts w:cs="宋体" w:asciiTheme="minorEastAsia" w:hAnsiTheme="minorEastAsia" w:eastAsiaTheme="minorEastAsia"/>
          <w:sz w:val="24"/>
        </w:rPr>
      </w:pPr>
    </w:p>
    <w:p>
      <w:pPr>
        <w:spacing w:line="360" w:lineRule="auto"/>
        <w:ind w:firstLine="2760" w:firstLineChars="1150"/>
        <w:rPr>
          <w:rFonts w:cs="宋体" w:asciiTheme="minorEastAsia" w:hAnsiTheme="minorEastAsia" w:eastAsiaTheme="minorEastAsia"/>
          <w:sz w:val="24"/>
        </w:rPr>
      </w:pPr>
      <w:r>
        <w:rPr>
          <w:rFonts w:hint="eastAsia" w:cs="宋体" w:asciiTheme="minorEastAsia" w:hAnsiTheme="minorEastAsia" w:eastAsiaTheme="minorEastAsia"/>
          <w:sz w:val="24"/>
        </w:rPr>
        <w:t xml:space="preserve">项目编号： </w:t>
      </w: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pStyle w:val="10"/>
        <w:ind w:firstLine="240"/>
        <w:rPr>
          <w:rFonts w:cs="宋体" w:asciiTheme="minorEastAsia" w:hAnsiTheme="minorEastAsia" w:eastAsiaTheme="minorEastAsia"/>
          <w:sz w:val="24"/>
        </w:rPr>
      </w:pPr>
    </w:p>
    <w:p>
      <w:pPr>
        <w:pStyle w:val="10"/>
        <w:ind w:firstLine="240"/>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bookmarkStart w:id="668" w:name="_Toc26563"/>
      <w:bookmarkStart w:id="669" w:name="_Toc3755"/>
      <w:bookmarkStart w:id="670" w:name="_Toc16543"/>
      <w:r>
        <w:rPr>
          <w:rFonts w:hint="eastAsia" w:cs="宋体" w:asciiTheme="minorEastAsia" w:hAnsiTheme="minorEastAsia" w:eastAsiaTheme="minorEastAsia"/>
          <w:sz w:val="24"/>
        </w:rPr>
        <w:t>响应人：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（盖章）</w:t>
      </w:r>
      <w:bookmarkEnd w:id="668"/>
      <w:bookmarkEnd w:id="669"/>
      <w:bookmarkEnd w:id="670"/>
    </w:p>
    <w:p>
      <w:pPr>
        <w:spacing w:line="358" w:lineRule="exact"/>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bookmarkStart w:id="671" w:name="_Toc16729"/>
      <w:bookmarkStart w:id="672" w:name="_Toc15935"/>
      <w:bookmarkStart w:id="673" w:name="_Toc24251"/>
      <w:r>
        <w:rPr>
          <w:rFonts w:hint="eastAsia" w:cs="宋体" w:asciiTheme="minorEastAsia" w:hAnsiTheme="minorEastAsia" w:eastAsiaTheme="minorEastAsia"/>
          <w:sz w:val="24"/>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（电子签章）</w:t>
      </w:r>
      <w:bookmarkEnd w:id="671"/>
      <w:bookmarkEnd w:id="672"/>
      <w:bookmarkEnd w:id="673"/>
    </w:p>
    <w:p>
      <w:pPr>
        <w:spacing w:line="358" w:lineRule="exact"/>
        <w:jc w:val="center"/>
        <w:rPr>
          <w:rFonts w:cs="宋体" w:asciiTheme="minorEastAsia" w:hAnsiTheme="minorEastAsia" w:eastAsiaTheme="minorEastAsia"/>
          <w:sz w:val="24"/>
          <w:u w:val="single"/>
        </w:rPr>
      </w:pPr>
    </w:p>
    <w:p>
      <w:pPr>
        <w:jc w:val="center"/>
        <w:rPr>
          <w:rFonts w:cs="宋体" w:asciiTheme="minorEastAsia" w:hAnsiTheme="minorEastAsia" w:eastAsiaTheme="minorEastAsia"/>
          <w:sz w:val="24"/>
        </w:rPr>
      </w:pPr>
      <w:bookmarkStart w:id="674" w:name="_Toc6022"/>
      <w:bookmarkStart w:id="675" w:name="_Toc11028"/>
      <w:bookmarkStart w:id="676" w:name="_Toc22871"/>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bookmarkEnd w:id="674"/>
      <w:bookmarkEnd w:id="675"/>
      <w:bookmarkEnd w:id="676"/>
    </w:p>
    <w:p>
      <w:pPr>
        <w:spacing w:line="0" w:lineRule="atLeast"/>
        <w:ind w:left="4200"/>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 xml:space="preserve"> </w:t>
      </w:r>
    </w:p>
    <w:p>
      <w:pPr>
        <w:spacing w:line="520" w:lineRule="exact"/>
        <w:ind w:firstLine="240" w:firstLineChars="100"/>
        <w:textAlignment w:val="center"/>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0" w:lineRule="atLeast"/>
        <w:ind w:left="4200"/>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 xml:space="preserve">目   </w:t>
      </w:r>
      <w:r>
        <w:rPr>
          <w:rFonts w:hint="eastAsia" w:cs="宋体" w:asciiTheme="minorEastAsia" w:hAnsiTheme="minorEastAsia" w:eastAsiaTheme="minorEastAsia"/>
          <w:b/>
          <w:bCs/>
          <w:sz w:val="30"/>
          <w:szCs w:val="30"/>
        </w:rPr>
        <w:tab/>
      </w:r>
      <w:r>
        <w:rPr>
          <w:rFonts w:hint="eastAsia" w:cs="宋体" w:asciiTheme="minorEastAsia" w:hAnsiTheme="minorEastAsia" w:eastAsiaTheme="minorEastAsia"/>
          <w:b/>
          <w:bCs/>
          <w:sz w:val="30"/>
          <w:szCs w:val="30"/>
        </w:rPr>
        <w:t>录</w:t>
      </w:r>
    </w:p>
    <w:p>
      <w:pPr>
        <w:spacing w:line="520" w:lineRule="exact"/>
        <w:ind w:firstLine="240" w:firstLineChars="100"/>
        <w:jc w:val="center"/>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（格式自拟）</w:t>
      </w:r>
    </w:p>
    <w:p>
      <w:pPr>
        <w:spacing w:line="0" w:lineRule="atLeast"/>
        <w:jc w:val="center"/>
        <w:rPr>
          <w:rFonts w:cs="宋体" w:asciiTheme="minorEastAsia" w:hAnsiTheme="minorEastAsia" w:eastAsiaTheme="minorEastAsia"/>
          <w:b/>
          <w:bCs/>
          <w:sz w:val="24"/>
        </w:rPr>
      </w:pPr>
      <w:r>
        <w:rPr>
          <w:rFonts w:asciiTheme="minorEastAsia" w:hAnsiTheme="minorEastAsia" w:eastAsiaTheme="minorEastAsia"/>
          <w:sz w:val="24"/>
          <w:szCs w:val="24"/>
        </w:rPr>
        <w:br w:type="page"/>
      </w:r>
    </w:p>
    <w:p>
      <w:pPr>
        <w:spacing w:line="0" w:lineRule="atLeast"/>
        <w:jc w:val="center"/>
        <w:outlineLvl w:val="1"/>
        <w:rPr>
          <w:rFonts w:cs="宋体" w:asciiTheme="minorEastAsia" w:hAnsiTheme="minorEastAsia" w:eastAsiaTheme="minorEastAsia"/>
          <w:b/>
          <w:bCs/>
          <w:sz w:val="30"/>
          <w:szCs w:val="30"/>
        </w:rPr>
      </w:pPr>
      <w:bookmarkStart w:id="677" w:name="_Toc11316"/>
      <w:bookmarkStart w:id="678" w:name="_Toc21074"/>
      <w:bookmarkStart w:id="679" w:name="_Toc16807"/>
      <w:bookmarkStart w:id="680" w:name="_Toc9992"/>
      <w:r>
        <w:rPr>
          <w:rFonts w:hint="eastAsia" w:cs="宋体" w:asciiTheme="minorEastAsia" w:hAnsiTheme="minorEastAsia" w:eastAsiaTheme="minorEastAsia"/>
          <w:b/>
          <w:bCs/>
          <w:sz w:val="30"/>
          <w:szCs w:val="30"/>
        </w:rPr>
        <w:t>一、磋商函及磋商函附录</w:t>
      </w:r>
      <w:bookmarkEnd w:id="677"/>
      <w:bookmarkEnd w:id="678"/>
      <w:bookmarkEnd w:id="679"/>
      <w:bookmarkEnd w:id="680"/>
    </w:p>
    <w:p>
      <w:pPr>
        <w:spacing w:line="0" w:lineRule="atLeast"/>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（一）磋商函</w:t>
      </w:r>
    </w:p>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pPr>
        <w:spacing w:line="4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1、我方已仔细研究了</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（项目名称）竞争性磋商文件的全部内容，愿以人民币（大写：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元）的磋商总报价。 按合同约定实施和完成承包工程，修补工程中的任何缺陷。</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2、如果我方中标，我方保证</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日历天内竣工，并确保工程质量</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。我方同意本磋商函在竞争性磋商文件规定的提交响应文件截止时间后，在竞争性磋商文件规定的磋商有效期期满前对我方具有约束力，且随时准备接受你方发出的中标（成交）通知书。</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3、我方承诺在磋商有效期</w:t>
      </w:r>
      <w:r>
        <w:rPr>
          <w:rFonts w:hint="eastAsia" w:cs="宋体" w:asciiTheme="minorEastAsia" w:hAnsiTheme="minorEastAsia" w:eastAsiaTheme="minorEastAsia"/>
          <w:sz w:val="24"/>
          <w:u w:val="single"/>
        </w:rPr>
        <w:t xml:space="preserve"> 60 </w:t>
      </w:r>
      <w:r>
        <w:rPr>
          <w:rFonts w:hint="eastAsia" w:cs="宋体" w:asciiTheme="minorEastAsia" w:hAnsiTheme="minorEastAsia" w:eastAsiaTheme="minorEastAsia"/>
          <w:sz w:val="24"/>
        </w:rPr>
        <w:t>日历天内不修改、撤销响应文件。</w:t>
      </w:r>
    </w:p>
    <w:p>
      <w:pPr>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4、如我方中标：</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（1）我方承诺在收到通知后领取中标（成交）通知书，并在中标（成交）通知书规定的期限内与你方签订合同，逾期可视为放弃中标。</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（2）随同本磋商函递交的磋商函附录属于合同文件的组成部分。</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（3）我方承诺按照竞争性磋商文件规定向你方递交履约保证金（如有）。</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（4）我方承诺在合同约定的期限内完成并移交全部合同工程。</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（5）我方承诺满足合同专用条款中补充条款的内容。</w:t>
      </w:r>
    </w:p>
    <w:p>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（6）我方承诺并理解采购人不以最低磋商标价为中标价的唯一选择。</w:t>
      </w:r>
    </w:p>
    <w:p>
      <w:pPr>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5．我方在此声明，所递交的响应文件及有关资料内容完整、真实和准确。</w:t>
      </w:r>
    </w:p>
    <w:p>
      <w:pPr>
        <w:spacing w:line="460" w:lineRule="exact"/>
        <w:ind w:firstLine="3840" w:firstLineChars="1600"/>
        <w:jc w:val="left"/>
        <w:rPr>
          <w:rFonts w:cs="宋体" w:asciiTheme="minorEastAsia" w:hAnsiTheme="minorEastAsia" w:eastAsiaTheme="minorEastAsia"/>
          <w:sz w:val="24"/>
        </w:rPr>
      </w:pPr>
    </w:p>
    <w:p>
      <w:pPr>
        <w:spacing w:line="460" w:lineRule="exact"/>
        <w:ind w:firstLine="3840" w:firstLineChars="16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700" w:lineRule="exact"/>
        <w:ind w:right="480" w:firstLine="3120" w:firstLineChars="1300"/>
        <w:rPr>
          <w:rFonts w:cs="宋体" w:asciiTheme="minorEastAsia" w:hAnsiTheme="minorEastAsia" w:eastAsiaTheme="minorEastAsia"/>
          <w:sz w:val="24"/>
        </w:rPr>
      </w:pPr>
      <w:r>
        <w:rPr>
          <w:rFonts w:hint="eastAsia" w:cs="宋体" w:asciiTheme="minorEastAsia" w:hAnsiTheme="minorEastAsia" w:eastAsiaTheme="minorEastAsia"/>
          <w:sz w:val="24"/>
        </w:rPr>
        <w:t>响  应 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（公章签章）</w:t>
      </w:r>
    </w:p>
    <w:p>
      <w:pPr>
        <w:wordWrap w:val="0"/>
        <w:spacing w:line="700" w:lineRule="exact"/>
        <w:ind w:firstLine="540"/>
        <w:jc w:val="righ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（电子签章）</w:t>
      </w:r>
    </w:p>
    <w:p>
      <w:pPr>
        <w:spacing w:line="700" w:lineRule="exact"/>
        <w:ind w:right="480" w:firstLine="4680" w:firstLineChars="1950"/>
        <w:rPr>
          <w:rFonts w:asciiTheme="minorEastAsia" w:hAnsiTheme="minorEastAsia" w:eastAsiaTheme="minorEastAsia"/>
          <w:sz w:val="24"/>
        </w:rPr>
      </w:pPr>
      <w:r>
        <w:rPr>
          <w:rFonts w:hint="eastAsia" w:cs="宋体" w:asciiTheme="minorEastAsia" w:hAnsiTheme="minorEastAsia" w:eastAsiaTheme="minorEastAsia"/>
          <w:sz w:val="24"/>
        </w:rPr>
        <w:t xml:space="preserve">日  期：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pacing w:line="23" w:lineRule="exact"/>
        <w:rPr>
          <w:rFonts w:cs="宋体" w:asciiTheme="minorEastAsia" w:hAnsiTheme="minorEastAsia" w:eastAsiaTheme="minorEastAsia"/>
          <w:sz w:val="24"/>
        </w:rPr>
      </w:pPr>
    </w:p>
    <w:p>
      <w:pPr>
        <w:widowControl/>
        <w:jc w:val="left"/>
        <w:rPr>
          <w:rFonts w:cs="宋体" w:asciiTheme="minorEastAsia" w:hAnsiTheme="minorEastAsia" w:eastAsiaTheme="minorEastAsia"/>
          <w:sz w:val="24"/>
        </w:rPr>
        <w:sectPr>
          <w:pgSz w:w="11900" w:h="16838"/>
          <w:pgMar w:top="1077" w:right="1134" w:bottom="1077" w:left="1134" w:header="720" w:footer="720" w:gutter="0"/>
          <w:cols w:space="720" w:num="1"/>
          <w:docGrid w:type="lines" w:linePitch="360" w:charSpace="0"/>
        </w:sectPr>
      </w:pPr>
    </w:p>
    <w:p>
      <w:pPr>
        <w:spacing w:before="312" w:beforeLines="100" w:after="156" w:afterLines="50" w:line="240" w:lineRule="exact"/>
        <w:jc w:val="center"/>
        <w:textAlignment w:val="center"/>
        <w:rPr>
          <w:rFonts w:cs="宋体" w:asciiTheme="minorEastAsia" w:hAnsiTheme="minorEastAsia" w:eastAsiaTheme="minorEastAsia"/>
          <w:b/>
          <w:bCs/>
          <w:sz w:val="30"/>
          <w:szCs w:val="30"/>
        </w:rPr>
      </w:pPr>
      <w:bookmarkStart w:id="681" w:name="page58"/>
      <w:bookmarkEnd w:id="681"/>
    </w:p>
    <w:p>
      <w:pPr>
        <w:spacing w:before="312" w:beforeLines="100" w:after="156" w:afterLines="50" w:line="240" w:lineRule="exact"/>
        <w:jc w:val="center"/>
        <w:textAlignment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（二）磋商函附录（第一次报价）</w:t>
      </w:r>
    </w:p>
    <w:tbl>
      <w:tblPr>
        <w:tblStyle w:val="1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31"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项目名称</w:t>
            </w:r>
          </w:p>
        </w:tc>
        <w:tc>
          <w:tcPr>
            <w:tcW w:w="6589" w:type="dxa"/>
            <w:gridSpan w:val="5"/>
            <w:tcBorders>
              <w:top w:val="single" w:color="auto" w:sz="4" w:space="0"/>
              <w:left w:val="nil"/>
              <w:bottom w:val="single" w:color="auto" w:sz="4" w:space="0"/>
              <w:right w:val="single" w:color="auto" w:sz="4" w:space="0"/>
            </w:tcBorders>
            <w:vAlign w:val="center"/>
          </w:tcPr>
          <w:p>
            <w:pPr>
              <w:spacing w:line="331"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响应人名称</w:t>
            </w:r>
          </w:p>
        </w:tc>
        <w:tc>
          <w:tcPr>
            <w:tcW w:w="6589"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cs="宋体" w:asciiTheme="minorEastAsia" w:hAnsiTheme="minorEastAsia" w:eastAsiaTheme="minorEastAsia"/>
                <w:spacing w:val="-1"/>
                <w:sz w:val="24"/>
              </w:rPr>
            </w:pPr>
            <w:r>
              <w:rPr>
                <w:rFonts w:hint="eastAsia" w:cs="宋体" w:asciiTheme="minorEastAsia" w:hAnsiTheme="minorEastAsia" w:eastAsiaTheme="minorEastAsia"/>
                <w:spacing w:val="-1"/>
                <w:sz w:val="24"/>
              </w:rPr>
              <w:t>资质等级</w:t>
            </w:r>
          </w:p>
        </w:tc>
        <w:tc>
          <w:tcPr>
            <w:tcW w:w="6589"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项目经理</w:t>
            </w:r>
          </w:p>
        </w:tc>
        <w:tc>
          <w:tcPr>
            <w:tcW w:w="1933" w:type="dxa"/>
            <w:tcBorders>
              <w:top w:val="single" w:color="auto" w:sz="4" w:space="0"/>
              <w:left w:val="nil"/>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sz w:val="24"/>
              </w:rPr>
            </w:pPr>
          </w:p>
        </w:tc>
        <w:tc>
          <w:tcPr>
            <w:tcW w:w="722" w:type="dxa"/>
            <w:tcBorders>
              <w:top w:val="single" w:color="auto" w:sz="4" w:space="0"/>
              <w:left w:val="nil"/>
              <w:bottom w:val="single" w:color="auto" w:sz="4" w:space="0"/>
              <w:right w:val="single" w:color="auto" w:sz="4" w:space="0"/>
            </w:tcBorders>
            <w:vAlign w:val="center"/>
          </w:tcPr>
          <w:p>
            <w:pPr>
              <w:spacing w:line="300"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级别</w:t>
            </w:r>
          </w:p>
        </w:tc>
        <w:tc>
          <w:tcPr>
            <w:tcW w:w="1123" w:type="dxa"/>
            <w:tcBorders>
              <w:top w:val="single" w:color="auto" w:sz="4" w:space="0"/>
              <w:left w:val="nil"/>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sz w:val="24"/>
              </w:rPr>
            </w:pPr>
          </w:p>
        </w:tc>
        <w:tc>
          <w:tcPr>
            <w:tcW w:w="1145" w:type="dxa"/>
            <w:tcBorders>
              <w:top w:val="single" w:color="auto" w:sz="4" w:space="0"/>
              <w:left w:val="nil"/>
              <w:bottom w:val="single" w:color="auto" w:sz="4" w:space="0"/>
              <w:right w:val="single" w:color="auto" w:sz="4" w:space="0"/>
            </w:tcBorders>
            <w:vAlign w:val="center"/>
          </w:tcPr>
          <w:p>
            <w:pPr>
              <w:spacing w:line="300"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证书编号</w:t>
            </w:r>
          </w:p>
        </w:tc>
        <w:tc>
          <w:tcPr>
            <w:tcW w:w="1666" w:type="dxa"/>
            <w:tcBorders>
              <w:top w:val="single" w:color="auto" w:sz="4" w:space="0"/>
              <w:left w:val="nil"/>
              <w:bottom w:val="single" w:color="auto" w:sz="4" w:space="0"/>
              <w:right w:val="single" w:color="auto" w:sz="4" w:space="0"/>
            </w:tcBorders>
            <w:vAlign w:val="center"/>
          </w:tcPr>
          <w:p>
            <w:pPr>
              <w:spacing w:line="300" w:lineRule="exact"/>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295"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计划工期</w:t>
            </w:r>
          </w:p>
        </w:tc>
        <w:tc>
          <w:tcPr>
            <w:tcW w:w="6589" w:type="dxa"/>
            <w:gridSpan w:val="5"/>
            <w:tcBorders>
              <w:top w:val="single" w:color="auto" w:sz="4" w:space="0"/>
              <w:left w:val="nil"/>
              <w:bottom w:val="single" w:color="auto" w:sz="4" w:space="0"/>
              <w:right w:val="single" w:color="auto" w:sz="4" w:space="0"/>
            </w:tcBorders>
            <w:vAlign w:val="center"/>
          </w:tcPr>
          <w:p>
            <w:pPr>
              <w:spacing w:line="295" w:lineRule="exact"/>
              <w:jc w:val="center"/>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240" w:lineRule="exact"/>
              <w:ind w:left="1164" w:right="-239"/>
              <w:jc w:val="center"/>
              <w:rPr>
                <w:rFonts w:cs="宋体" w:asciiTheme="minorEastAsia" w:hAnsiTheme="minorEastAsia" w:eastAsiaTheme="minorEastAsia"/>
                <w:sz w:val="24"/>
              </w:rPr>
            </w:pPr>
          </w:p>
          <w:p>
            <w:pPr>
              <w:spacing w:line="30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磋商总报价</w:t>
            </w:r>
          </w:p>
        </w:tc>
        <w:tc>
          <w:tcPr>
            <w:tcW w:w="6589" w:type="dxa"/>
            <w:gridSpan w:val="5"/>
            <w:tcBorders>
              <w:top w:val="single" w:color="auto" w:sz="4" w:space="0"/>
              <w:left w:val="nil"/>
              <w:bottom w:val="single" w:color="auto" w:sz="4" w:space="0"/>
              <w:right w:val="single" w:color="auto" w:sz="4" w:space="0"/>
            </w:tcBorders>
            <w:vAlign w:val="center"/>
          </w:tcPr>
          <w:p>
            <w:pPr>
              <w:spacing w:line="240" w:lineRule="exact"/>
              <w:ind w:left="108" w:right="-239"/>
              <w:jc w:val="center"/>
              <w:rPr>
                <w:rFonts w:cs="宋体" w:asciiTheme="minorEastAsia" w:hAnsiTheme="minorEastAsia" w:eastAsiaTheme="minorEastAsia"/>
                <w:sz w:val="24"/>
              </w:rPr>
            </w:pPr>
          </w:p>
          <w:p>
            <w:pPr>
              <w:spacing w:line="307" w:lineRule="exact"/>
              <w:ind w:left="108"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大写：</w:t>
            </w:r>
            <w:r>
              <w:rPr>
                <w:rFonts w:hint="eastAsia" w:cs="宋体" w:asciiTheme="minorEastAsia" w:hAnsiTheme="minorEastAsia" w:eastAsiaTheme="minorEastAsia"/>
                <w:spacing w:val="4"/>
                <w:sz w:val="24"/>
              </w:rPr>
              <w:t xml:space="preserve">        </w:t>
            </w:r>
            <w:r>
              <w:rPr>
                <w:rFonts w:hint="eastAsia" w:cs="宋体" w:asciiTheme="minorEastAsia" w:hAnsiTheme="minorEastAsia" w:eastAsiaTheme="minorEastAsia"/>
                <w:spacing w:val="-1"/>
                <w:sz w:val="24"/>
              </w:rPr>
              <w:t>；</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1"/>
                <w:sz w:val="24"/>
              </w:rPr>
              <w:t>小写：</w:t>
            </w:r>
            <w:r>
              <w:rPr>
                <w:rFonts w:hint="eastAsia" w:cs="宋体" w:asciiTheme="minorEastAsia" w:hAnsiTheme="minorEastAsia" w:eastAsiaTheme="minorEastAsia"/>
                <w:spacing w:val="4"/>
                <w:sz w:val="24"/>
              </w:rPr>
              <w:t xml:space="preserve">      </w:t>
            </w:r>
            <w:r>
              <w:rPr>
                <w:rFonts w:hint="eastAsia" w:cs="宋体" w:asciiTheme="minorEastAsia" w:hAnsiTheme="minorEastAsia" w:eastAsiaTheme="minorEastAsia"/>
                <w:spacing w:val="-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8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质量要求</w:t>
            </w:r>
          </w:p>
        </w:tc>
        <w:tc>
          <w:tcPr>
            <w:tcW w:w="6589" w:type="dxa"/>
            <w:gridSpan w:val="5"/>
            <w:tcBorders>
              <w:top w:val="single" w:color="auto" w:sz="4" w:space="0"/>
              <w:left w:val="nil"/>
              <w:bottom w:val="single" w:color="auto" w:sz="4" w:space="0"/>
              <w:right w:val="single" w:color="auto" w:sz="4" w:space="0"/>
            </w:tcBorders>
            <w:vAlign w:val="center"/>
          </w:tcPr>
          <w:p>
            <w:pPr>
              <w:spacing w:line="387" w:lineRule="exact"/>
              <w:jc w:val="center"/>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42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安全目标</w:t>
            </w:r>
          </w:p>
        </w:tc>
        <w:tc>
          <w:tcPr>
            <w:tcW w:w="6589" w:type="dxa"/>
            <w:gridSpan w:val="5"/>
            <w:tcBorders>
              <w:top w:val="single" w:color="auto" w:sz="4" w:space="0"/>
              <w:left w:val="nil"/>
              <w:bottom w:val="single" w:color="auto" w:sz="4" w:space="0"/>
              <w:right w:val="single" w:color="auto" w:sz="4" w:space="0"/>
            </w:tcBorders>
            <w:vAlign w:val="center"/>
          </w:tcPr>
          <w:p>
            <w:pPr>
              <w:spacing w:line="423"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杜绝死亡事故</w:t>
            </w:r>
          </w:p>
        </w:tc>
      </w:tr>
    </w:tbl>
    <w:p>
      <w:pPr>
        <w:spacing w:line="440" w:lineRule="exact"/>
        <w:rPr>
          <w:rFonts w:cs="宋体" w:asciiTheme="minorEastAsia" w:hAnsiTheme="minorEastAsia" w:eastAsiaTheme="minorEastAsia"/>
          <w:sz w:val="24"/>
        </w:rPr>
      </w:pP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响   应   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（公章签章）</w:t>
      </w:r>
    </w:p>
    <w:p>
      <w:pPr>
        <w:spacing w:line="70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（电子签章）</w:t>
      </w:r>
    </w:p>
    <w:p>
      <w:pPr>
        <w:spacing w:line="700" w:lineRule="exact"/>
        <w:rPr>
          <w:rFonts w:cs="宋体" w:asciiTheme="minorEastAsia" w:hAnsiTheme="minorEastAsia" w:eastAsiaTheme="minorEastAsia"/>
          <w:b/>
          <w:bCs/>
          <w:sz w:val="30"/>
          <w:szCs w:val="30"/>
        </w:rPr>
      </w:pPr>
      <w:r>
        <w:rPr>
          <w:rFonts w:hint="eastAsia" w:cs="宋体" w:asciiTheme="minorEastAsia" w:hAnsiTheme="minorEastAsia" w:eastAsiaTheme="minorEastAsia"/>
          <w:sz w:val="24"/>
        </w:rPr>
        <w:t xml:space="preserve">日期：   年   月   日 </w:t>
      </w:r>
    </w:p>
    <w:p>
      <w:pPr>
        <w:spacing w:line="440" w:lineRule="exact"/>
        <w:jc w:val="center"/>
        <w:outlineLvl w:val="1"/>
        <w:rPr>
          <w:rFonts w:cs="宋体" w:asciiTheme="minorEastAsia" w:hAnsiTheme="minorEastAsia" w:eastAsiaTheme="minorEastAsia"/>
          <w:b/>
          <w:bCs/>
          <w:sz w:val="24"/>
        </w:rPr>
      </w:pPr>
      <w:bookmarkStart w:id="682" w:name="_Toc6390"/>
      <w:r>
        <w:rPr>
          <w:rFonts w:hint="eastAsia" w:cs="宋体" w:asciiTheme="minorEastAsia" w:hAnsiTheme="minorEastAsia" w:eastAsiaTheme="minorEastAsia"/>
          <w:b/>
          <w:bCs/>
          <w:sz w:val="30"/>
          <w:szCs w:val="30"/>
        </w:rPr>
        <w:br w:type="page"/>
      </w:r>
      <w:bookmarkStart w:id="683" w:name="_Toc25657"/>
      <w:bookmarkStart w:id="684" w:name="_Toc4763"/>
      <w:bookmarkStart w:id="685" w:name="_Toc9432"/>
      <w:r>
        <w:rPr>
          <w:rFonts w:hint="eastAsia" w:cs="宋体" w:asciiTheme="minorEastAsia" w:hAnsiTheme="minorEastAsia" w:eastAsiaTheme="minorEastAsia"/>
          <w:b/>
          <w:bCs/>
          <w:sz w:val="30"/>
          <w:szCs w:val="30"/>
        </w:rPr>
        <w:t>二、法定代表人身份证明</w:t>
      </w:r>
      <w:bookmarkEnd w:id="682"/>
      <w:bookmarkEnd w:id="683"/>
      <w:bookmarkEnd w:id="684"/>
      <w:bookmarkEnd w:id="685"/>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响 应 人：</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单位性质：</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地    址：</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成立时间：     年  月  日</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经营期限：</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姓    名：         性        别：</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    龄：         职        务：</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（响应人名称）的法定代表人。</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wordWrap w:val="0"/>
        <w:spacing w:line="520" w:lineRule="exact"/>
        <w:jc w:val="right"/>
        <w:rPr>
          <w:rFonts w:cs="宋体" w:asciiTheme="minorEastAsia" w:hAnsiTheme="minorEastAsia" w:eastAsiaTheme="minorEastAsia"/>
          <w:sz w:val="24"/>
        </w:rPr>
      </w:pPr>
      <w:r>
        <w:rPr>
          <w:rFonts w:hint="eastAsia" w:cs="宋体" w:asciiTheme="minorEastAsia" w:hAnsiTheme="minorEastAsia" w:eastAsiaTheme="minorEastAsia"/>
          <w:sz w:val="24"/>
        </w:rPr>
        <w:t>响  应 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（公章签章）</w:t>
      </w:r>
    </w:p>
    <w:p>
      <w:pPr>
        <w:spacing w:line="480" w:lineRule="exact"/>
        <w:textAlignment w:val="center"/>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 </w:t>
      </w:r>
    </w:p>
    <w:p>
      <w:pPr>
        <w:spacing w:line="480" w:lineRule="exact"/>
        <w:jc w:val="righ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年   月   日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114"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ind w:left="374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line="0" w:lineRule="atLeast"/>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outlineLvl w:val="1"/>
        <w:rPr>
          <w:rFonts w:cs="宋体" w:asciiTheme="minorEastAsia" w:hAnsiTheme="minorEastAsia" w:eastAsiaTheme="minorEastAsia"/>
          <w:sz w:val="24"/>
        </w:rPr>
      </w:pPr>
      <w:r>
        <w:rPr>
          <w:rFonts w:cs="宋体" w:asciiTheme="minorEastAsia" w:hAnsiTheme="minorEastAsia" w:eastAsiaTheme="minorEastAsia"/>
          <w:b/>
          <w:bCs/>
          <w:sz w:val="24"/>
        </w:rPr>
        <w:br w:type="page"/>
      </w:r>
      <w:bookmarkStart w:id="686" w:name="_Toc30202"/>
      <w:bookmarkStart w:id="687" w:name="_Toc31687"/>
      <w:bookmarkStart w:id="688" w:name="_Toc14392"/>
      <w:bookmarkStart w:id="689" w:name="_Toc7629"/>
      <w:r>
        <w:rPr>
          <w:rFonts w:hint="eastAsia" w:cs="宋体" w:asciiTheme="minorEastAsia" w:hAnsiTheme="minorEastAsia" w:eastAsiaTheme="minorEastAsia"/>
          <w:b/>
          <w:bCs/>
          <w:sz w:val="30"/>
          <w:szCs w:val="30"/>
        </w:rPr>
        <w:t>三、授权委托书</w:t>
      </w:r>
      <w:bookmarkEnd w:id="686"/>
      <w:bookmarkEnd w:id="687"/>
      <w:bookmarkEnd w:id="688"/>
      <w:bookmarkEnd w:id="689"/>
    </w:p>
    <w:p>
      <w:pPr>
        <w:spacing w:line="480" w:lineRule="exact"/>
        <w:ind w:firstLine="720" w:firstLineChars="3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本人</w:t>
      </w:r>
      <w:r>
        <w:rPr>
          <w:rFonts w:hint="eastAsia" w:cs="宋体" w:asciiTheme="minorEastAsia" w:hAnsiTheme="minorEastAsia" w:eastAsiaTheme="minorEastAsia"/>
          <w:sz w:val="24"/>
          <w:szCs w:val="24"/>
          <w:u w:val="single"/>
        </w:rPr>
        <w:t>（姓名）</w:t>
      </w:r>
      <w:r>
        <w:rPr>
          <w:rFonts w:hint="eastAsia" w:cs="宋体" w:asciiTheme="minorEastAsia" w:hAnsiTheme="minorEastAsia" w:eastAsiaTheme="minorEastAsia"/>
          <w:sz w:val="24"/>
          <w:szCs w:val="24"/>
        </w:rPr>
        <w:t>系</w:t>
      </w:r>
      <w:r>
        <w:rPr>
          <w:rFonts w:hint="eastAsia" w:cs="宋体" w:asciiTheme="minorEastAsia" w:hAnsiTheme="minorEastAsia" w:eastAsiaTheme="minorEastAsia"/>
          <w:sz w:val="24"/>
          <w:szCs w:val="24"/>
          <w:u w:val="single"/>
        </w:rPr>
        <w:t>（响应人名称）</w:t>
      </w:r>
      <w:r>
        <w:rPr>
          <w:rFonts w:hint="eastAsia" w:cs="宋体" w:asciiTheme="minorEastAsia" w:hAnsiTheme="minorEastAsia" w:eastAsiaTheme="minorEastAsia"/>
          <w:sz w:val="24"/>
          <w:szCs w:val="24"/>
        </w:rPr>
        <w:t>的法定代表人，现委托</w:t>
      </w:r>
      <w:r>
        <w:rPr>
          <w:rFonts w:hint="eastAsia" w:cs="宋体" w:asciiTheme="minorEastAsia" w:hAnsiTheme="minorEastAsia" w:eastAsiaTheme="minorEastAsia"/>
          <w:sz w:val="24"/>
          <w:szCs w:val="24"/>
          <w:u w:val="single"/>
        </w:rPr>
        <w:t>（姓名）</w:t>
      </w:r>
      <w:r>
        <w:rPr>
          <w:rFonts w:hint="eastAsia" w:cs="宋体" w:asciiTheme="minorEastAsia" w:hAnsiTheme="minorEastAsia" w:eastAsiaTheme="minorEastAsia"/>
          <w:sz w:val="24"/>
          <w:szCs w:val="24"/>
        </w:rPr>
        <w:t>为我方代理人。代理人根据授权，以我方名义签署、澄清、说明、补正、递交、撤回、修改</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（项目名称）响应文件、签订合同和处理有关事宜，其法律后果由我方承担。</w:t>
      </w:r>
    </w:p>
    <w:p>
      <w:pPr>
        <w:spacing w:before="312" w:beforeLines="100" w:after="312" w:afterLines="100" w:line="48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代理人无转委托权。</w:t>
      </w:r>
    </w:p>
    <w:p>
      <w:pPr>
        <w:spacing w:after="312" w:afterLines="100" w:line="48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附：法定代表人身份证及委托代理人身份证扫描件</w:t>
      </w:r>
    </w:p>
    <w:p>
      <w:pPr>
        <w:spacing w:line="480" w:lineRule="exact"/>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  应  人：（公章签章）</w:t>
      </w:r>
    </w:p>
    <w:p>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w:t>
      </w:r>
      <w:r>
        <w:rPr>
          <w:rFonts w:hint="eastAsia" w:cs="宋体" w:asciiTheme="minorEastAsia" w:hAnsiTheme="minorEastAsia" w:eastAsiaTheme="minorEastAsia"/>
          <w:sz w:val="24"/>
        </w:rPr>
        <w:t>电子签章</w:t>
      </w:r>
      <w:r>
        <w:rPr>
          <w:rFonts w:hint="eastAsia" w:cs="宋体" w:asciiTheme="minorEastAsia" w:hAnsiTheme="minorEastAsia" w:eastAsiaTheme="minorEastAsia"/>
          <w:sz w:val="24"/>
          <w:szCs w:val="24"/>
        </w:rPr>
        <w:t>）</w:t>
      </w:r>
    </w:p>
    <w:p>
      <w:pPr>
        <w:spacing w:line="480" w:lineRule="exact"/>
        <w:ind w:firstLine="3840" w:firstLineChars="1600"/>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rPr>
        <w:t>：</w:t>
      </w:r>
    </w:p>
    <w:p>
      <w:pPr>
        <w:spacing w:line="480" w:lineRule="exact"/>
        <w:ind w:firstLine="4560" w:firstLineChars="19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p>
    <w:p>
      <w:pPr>
        <w:spacing w:before="312" w:beforeLines="100" w:after="156" w:afterLines="50" w:line="480" w:lineRule="exact"/>
        <w:textAlignment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 </w:t>
      </w:r>
    </w:p>
    <w:p>
      <w:pPr>
        <w:widowControl/>
        <w:spacing w:line="400" w:lineRule="exact"/>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bookmarkStart w:id="690" w:name="_Toc466566720"/>
      <w:bookmarkEnd w:id="690"/>
    </w:p>
    <w:p>
      <w:pPr>
        <w:widowControl/>
        <w:spacing w:line="400" w:lineRule="exact"/>
        <w:jc w:val="center"/>
        <w:outlineLvl w:val="1"/>
        <w:rPr>
          <w:rFonts w:cs="宋体" w:asciiTheme="minorEastAsia" w:hAnsiTheme="minorEastAsia" w:eastAsiaTheme="minorEastAsia"/>
          <w:b/>
          <w:sz w:val="30"/>
          <w:szCs w:val="30"/>
        </w:rPr>
      </w:pPr>
      <w:r>
        <w:rPr>
          <w:rFonts w:hint="eastAsia" w:cs="宋体" w:asciiTheme="minorEastAsia" w:hAnsiTheme="minorEastAsia" w:eastAsiaTheme="minorEastAsia"/>
          <w:b/>
          <w:bCs/>
          <w:sz w:val="24"/>
        </w:rPr>
        <w:br w:type="page"/>
      </w:r>
      <w:bookmarkStart w:id="691" w:name="_Toc7633"/>
      <w:bookmarkStart w:id="692" w:name="_Toc32717"/>
      <w:bookmarkStart w:id="693" w:name="_Toc6506"/>
      <w:bookmarkStart w:id="694" w:name="_Toc11405"/>
      <w:r>
        <w:rPr>
          <w:rFonts w:hint="eastAsia" w:cs="宋体" w:asciiTheme="minorEastAsia" w:hAnsiTheme="minorEastAsia" w:eastAsiaTheme="minorEastAsia"/>
          <w:b/>
          <w:bCs/>
          <w:sz w:val="30"/>
          <w:szCs w:val="30"/>
        </w:rPr>
        <w:t>四、磋商承诺函</w:t>
      </w:r>
      <w:bookmarkEnd w:id="691"/>
      <w:bookmarkEnd w:id="692"/>
      <w:bookmarkEnd w:id="693"/>
      <w:bookmarkEnd w:id="694"/>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致（采购人）：</w:t>
      </w:r>
      <w:r>
        <w:rPr>
          <w:rFonts w:hint="eastAsia" w:asciiTheme="minorEastAsia" w:hAnsiTheme="minorEastAsia" w:eastAsiaTheme="minorEastAsia"/>
          <w:sz w:val="24"/>
          <w:szCs w:val="24"/>
          <w:u w:val="single"/>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我公司作为本次磋商项目的响应人，根据竞争性磋商文件要求，现郑重承诺如下：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一、完全接受和满足本项目竞争性磋商文件中规定的实质性要求，如对竞争性磋商文件有异议，不存在对竞争性磋商文件有异议的同时又参加磋商以求侥幸中标或者为实现其他非法目的的行为。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二、参加本次磋商采购活动，不存在与单位负责人为同一人或者存在直接控股、管理关系的其他供应商参与同一合同项下的政府采购活动的行为。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三、参加本次磋商活动，不存在为磋商项目提供整体设计、规范编制或者项目管理、监理、检测等服务的行为。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四、参加本次磋商活动，不存在和其他供应商在同一合同项下的采购项目中，同时委托同一个自然人、同一家庭的人员、同一单位的人员作为代理人的行为。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五、响应人参加本次磋商活动要求在近三年内响应人和其法定代表人没有行贿犯罪行为。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六、参加本次磋商活动，不存在联合体磋商。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七、竞争性磋商文件中提供的能够给予我公司带来优惠、好处的任何材料资料和技术、服务、商务等响应承诺情况都是真实的、有效的、合法的。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九、存在以下行为之一的愿意接受相关部门的处理：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（一）磋商有效期内撤销竞争性磋商文件的；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（二）在采购人确定中标人以前放弃中标候选资格的；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（三）由于中标人的原因未能按照竞争性磋商文件的规定与采购人签订合同；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（四）在响应文件中提供虚假材料谋取中标；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（五）与采购人、其他响应人或者招标代理机构恶意串通的；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（六）磋商有效期内，响应人在政府采购活动中有违法、违规、违纪行为。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由此产生的一切法律后果和责任由我公司承担。我公司声明放弃对此提出任何异议和追索的权利。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rFonts w:asciiTheme="minorEastAsia" w:hAnsiTheme="minorEastAsia" w:eastAsiaTheme="minorEastAsia"/>
          <w:sz w:val="24"/>
          <w:szCs w:val="24"/>
        </w:rPr>
      </w:pPr>
    </w:p>
    <w:p>
      <w:pPr>
        <w:snapToGrid w:val="0"/>
        <w:spacing w:line="360" w:lineRule="auto"/>
        <w:rPr>
          <w:rFonts w:asciiTheme="minorEastAsia" w:hAnsiTheme="minorEastAsia" w:eastAsiaTheme="minorEastAsia"/>
          <w:kern w:val="0"/>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响应人名称：（公章签章）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法定代表人或授权代表：（法人签章）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60" w:lineRule="exact"/>
        <w:ind w:firstLine="480" w:firstLineChars="200"/>
        <w:rPr>
          <w:rFonts w:cs="宋体" w:asciiTheme="minorEastAsia" w:hAnsiTheme="minorEastAsia" w:eastAsiaTheme="minorEastAsia"/>
          <w:sz w:val="24"/>
        </w:rPr>
      </w:pP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24"/>
        </w:rPr>
        <w:t xml:space="preserve"> </w:t>
      </w:r>
    </w:p>
    <w:p>
      <w:pPr>
        <w:spacing w:before="312" w:beforeLines="100" w:after="156" w:afterLines="50" w:line="480" w:lineRule="exact"/>
        <w:jc w:val="center"/>
        <w:textAlignment w:val="center"/>
        <w:outlineLvl w:val="1"/>
        <w:rPr>
          <w:rFonts w:cs="宋体" w:asciiTheme="minorEastAsia" w:hAnsiTheme="minorEastAsia" w:eastAsiaTheme="minorEastAsia"/>
          <w:b/>
          <w:bCs/>
          <w:sz w:val="30"/>
          <w:szCs w:val="30"/>
        </w:rPr>
      </w:pPr>
      <w:bookmarkStart w:id="695" w:name="_Toc5084"/>
      <w:bookmarkStart w:id="696" w:name="_Toc2807"/>
      <w:bookmarkStart w:id="697" w:name="_Toc20745"/>
      <w:bookmarkStart w:id="698" w:name="_Toc18966"/>
      <w:r>
        <w:rPr>
          <w:rFonts w:hint="eastAsia" w:cs="宋体" w:asciiTheme="minorEastAsia" w:hAnsiTheme="minorEastAsia" w:eastAsiaTheme="minorEastAsia"/>
          <w:b/>
          <w:bCs/>
          <w:sz w:val="30"/>
          <w:szCs w:val="30"/>
        </w:rPr>
        <w:br w:type="page"/>
      </w:r>
      <w:r>
        <w:rPr>
          <w:rFonts w:hint="eastAsia" w:cs="宋体" w:asciiTheme="minorEastAsia" w:hAnsiTheme="minorEastAsia" w:eastAsiaTheme="minorEastAsia"/>
          <w:b/>
          <w:bCs/>
          <w:sz w:val="30"/>
          <w:szCs w:val="30"/>
        </w:rPr>
        <w:t>五、已标价工程量清单</w:t>
      </w:r>
      <w:bookmarkEnd w:id="695"/>
      <w:bookmarkEnd w:id="696"/>
      <w:bookmarkEnd w:id="697"/>
      <w:bookmarkEnd w:id="698"/>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pPr>
        <w:spacing w:before="312" w:beforeLines="100" w:after="156" w:afterLines="50" w:line="480" w:lineRule="exact"/>
        <w:textAlignment w:val="center"/>
        <w:rPr>
          <w:rFonts w:cs="宋体" w:asciiTheme="minorEastAsia" w:hAnsiTheme="minorEastAsia" w:eastAsiaTheme="minorEastAsia"/>
          <w:b/>
          <w:bCs/>
          <w:sz w:val="30"/>
          <w:szCs w:val="30"/>
        </w:rPr>
      </w:pPr>
    </w:p>
    <w:p>
      <w:pPr>
        <w:spacing w:before="312" w:beforeLines="100" w:after="156" w:afterLines="50" w:line="480" w:lineRule="exact"/>
        <w:jc w:val="center"/>
        <w:textAlignment w:val="center"/>
        <w:outlineLvl w:val="1"/>
        <w:rPr>
          <w:rFonts w:cs="宋体" w:asciiTheme="minorEastAsia" w:hAnsiTheme="minorEastAsia" w:eastAsiaTheme="minorEastAsia"/>
          <w:b/>
          <w:bCs/>
          <w:sz w:val="24"/>
        </w:rPr>
      </w:pPr>
      <w:bookmarkStart w:id="699" w:name="_Toc30855"/>
      <w:bookmarkStart w:id="700" w:name="_Toc1933"/>
      <w:bookmarkStart w:id="701" w:name="_Toc3097"/>
      <w:bookmarkStart w:id="702" w:name="_Toc12493"/>
      <w:r>
        <w:rPr>
          <w:rFonts w:hint="eastAsia" w:cs="宋体" w:asciiTheme="minorEastAsia" w:hAnsiTheme="minorEastAsia" w:eastAsiaTheme="minorEastAsia"/>
          <w:b/>
          <w:bCs/>
          <w:sz w:val="30"/>
          <w:szCs w:val="30"/>
        </w:rPr>
        <w:br w:type="page"/>
      </w:r>
      <w:r>
        <w:rPr>
          <w:rFonts w:hint="eastAsia" w:cs="宋体" w:asciiTheme="minorEastAsia" w:hAnsiTheme="minorEastAsia" w:eastAsiaTheme="minorEastAsia"/>
          <w:b/>
          <w:bCs/>
          <w:sz w:val="30"/>
          <w:szCs w:val="30"/>
        </w:rPr>
        <w:t>六、施工组织设计</w:t>
      </w:r>
      <w:bookmarkEnd w:id="699"/>
      <w:bookmarkEnd w:id="700"/>
      <w:bookmarkEnd w:id="701"/>
      <w:bookmarkEnd w:id="702"/>
    </w:p>
    <w:p>
      <w:pPr>
        <w:spacing w:line="480" w:lineRule="exact"/>
        <w:ind w:firstLine="422" w:firstLineChars="175"/>
        <w:jc w:val="center"/>
        <w:textAlignment w:val="center"/>
        <w:rPr>
          <w:rFonts w:hint="eastAsia" w:cs="宋体" w:asciiTheme="minorEastAsia" w:hAnsiTheme="minorEastAsia" w:eastAsiaTheme="minorEastAsia"/>
          <w:b/>
          <w:bCs/>
          <w:sz w:val="24"/>
          <w:lang w:val="en-US" w:eastAsia="zh-CN"/>
        </w:rPr>
      </w:pPr>
      <w:r>
        <w:rPr>
          <w:rFonts w:hint="eastAsia" w:cs="宋体" w:asciiTheme="minorEastAsia" w:hAnsiTheme="minorEastAsia" w:eastAsiaTheme="minorEastAsia"/>
          <w:b/>
          <w:bCs/>
          <w:sz w:val="24"/>
          <w:lang w:val="en-US" w:eastAsia="zh-CN"/>
        </w:rPr>
        <w:t>自拟</w:t>
      </w:r>
    </w:p>
    <w:p>
      <w:pPr>
        <w:spacing w:before="156" w:beforeLines="50" w:after="312" w:afterLines="100" w:line="480" w:lineRule="exact"/>
        <w:jc w:val="center"/>
        <w:textAlignment w:val="center"/>
        <w:rPr>
          <w:rFonts w:cs="宋体" w:asciiTheme="minorEastAsia" w:hAnsiTheme="minorEastAsia" w:eastAsiaTheme="minorEastAsia"/>
          <w:b/>
          <w:bCs/>
          <w:sz w:val="24"/>
        </w:rPr>
      </w:pPr>
    </w:p>
    <w:p>
      <w:pPr>
        <w:spacing w:before="156" w:beforeLines="50" w:after="312" w:afterLines="100" w:line="480" w:lineRule="exact"/>
        <w:jc w:val="center"/>
        <w:textAlignment w:val="center"/>
        <w:rPr>
          <w:rFonts w:cs="宋体" w:asciiTheme="minorEastAsia" w:hAnsiTheme="minorEastAsia" w:eastAsiaTheme="minorEastAsia"/>
          <w:b/>
          <w:bCs/>
          <w:sz w:val="30"/>
          <w:szCs w:val="30"/>
        </w:rPr>
      </w:pPr>
      <w:r>
        <w:rPr>
          <w:rFonts w:cs="宋体" w:asciiTheme="minorEastAsia" w:hAnsiTheme="minorEastAsia" w:eastAsiaTheme="minorEastAsia"/>
          <w:b/>
          <w:bCs/>
          <w:sz w:val="24"/>
        </w:rPr>
        <w:br w:type="page"/>
      </w:r>
    </w:p>
    <w:p>
      <w:pPr>
        <w:spacing w:before="156" w:beforeLines="50" w:after="156" w:afterLines="50" w:line="480" w:lineRule="exact"/>
        <w:jc w:val="center"/>
        <w:textAlignment w:val="center"/>
        <w:outlineLvl w:val="1"/>
        <w:rPr>
          <w:rFonts w:cs="宋体" w:asciiTheme="minorEastAsia" w:hAnsiTheme="minorEastAsia" w:eastAsiaTheme="minorEastAsia"/>
          <w:b/>
          <w:bCs/>
          <w:sz w:val="30"/>
          <w:szCs w:val="30"/>
        </w:rPr>
      </w:pPr>
      <w:bookmarkStart w:id="703" w:name="_Toc14989"/>
      <w:bookmarkStart w:id="704" w:name="_Toc3987"/>
      <w:bookmarkStart w:id="705" w:name="_Toc6339"/>
      <w:bookmarkStart w:id="706" w:name="_Toc13347"/>
      <w:r>
        <w:rPr>
          <w:rFonts w:hint="eastAsia" w:cs="宋体" w:asciiTheme="minorEastAsia" w:hAnsiTheme="minorEastAsia" w:eastAsiaTheme="minorEastAsia"/>
          <w:b/>
          <w:bCs/>
          <w:sz w:val="30"/>
          <w:szCs w:val="30"/>
        </w:rPr>
        <w:t>七、项目管理机构</w:t>
      </w:r>
      <w:bookmarkEnd w:id="703"/>
      <w:bookmarkEnd w:id="704"/>
      <w:bookmarkEnd w:id="705"/>
      <w:bookmarkEnd w:id="706"/>
    </w:p>
    <w:p>
      <w:pPr>
        <w:spacing w:after="312" w:afterLines="10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（一）项目管理机构组成表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职称</w:t>
            </w:r>
          </w:p>
        </w:tc>
        <w:tc>
          <w:tcPr>
            <w:tcW w:w="5670" w:type="dxa"/>
            <w:gridSpan w:val="5"/>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Cs w:val="21"/>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Cs w:val="21"/>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证书名称</w:t>
            </w: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级别</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证号</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专业</w:t>
            </w: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养老保险</w:t>
            </w:r>
          </w:p>
        </w:tc>
        <w:tc>
          <w:tcPr>
            <w:tcW w:w="708"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sz w:val="24"/>
              </w:rPr>
            </w:pPr>
          </w:p>
        </w:tc>
      </w:tr>
    </w:tbl>
    <w:p>
      <w:pPr>
        <w:spacing w:before="156" w:beforeLines="50" w:after="312" w:afterLines="100" w:line="40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156" w:beforeLines="50" w:after="312" w:afterLines="100"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156" w:beforeLines="50" w:after="312" w:afterLines="100" w:line="400" w:lineRule="exact"/>
        <w:textAlignment w:val="center"/>
        <w:rPr>
          <w:rFonts w:cs="宋体" w:asciiTheme="minorEastAsia" w:hAnsiTheme="minorEastAsia" w:eastAsiaTheme="minorEastAsia"/>
          <w:b/>
          <w:bCs/>
          <w:sz w:val="24"/>
        </w:rPr>
      </w:pPr>
    </w:p>
    <w:p>
      <w:pPr>
        <w:spacing w:before="156" w:beforeLines="50" w:after="312" w:afterLines="100" w:line="40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（二）主要人员简历表</w:t>
      </w:r>
    </w:p>
    <w:p>
      <w:pPr>
        <w:spacing w:before="156" w:beforeLines="50" w:after="312" w:afterLines="100" w:line="400" w:lineRule="exact"/>
        <w:ind w:firstLine="420" w:firstLineChars="200"/>
        <w:jc w:val="left"/>
        <w:textAlignment w:val="center"/>
        <w:rPr>
          <w:rFonts w:cs="宋体" w:asciiTheme="minorEastAsia" w:hAnsiTheme="minorEastAsia" w:eastAsiaTheme="minorEastAsia"/>
          <w:b/>
          <w:bCs/>
          <w:sz w:val="24"/>
        </w:rPr>
      </w:pPr>
      <w:r>
        <w:rPr>
          <w:rFonts w:hint="eastAsia" w:asciiTheme="minorEastAsia" w:hAnsiTheme="minorEastAsia" w:eastAsiaTheme="minorEastAsia"/>
        </w:rPr>
        <w:t>“主要人员简历表”中的项目经理应附项目经理身份证、注册证、安全生产考核合格证扫描件；其他主要人员应附身份证、执业证或上岗证书扫描件。</w:t>
      </w:r>
    </w:p>
    <w:tbl>
      <w:tblPr>
        <w:tblStyle w:val="11"/>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姓  名</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  龄</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学历</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职  称</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职  务</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拟在本工程</w:t>
            </w:r>
          </w:p>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任职</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毕业  学校</w:t>
            </w:r>
          </w:p>
        </w:tc>
        <w:tc>
          <w:tcPr>
            <w:tcW w:w="7600" w:type="dxa"/>
            <w:gridSpan w:val="5"/>
            <w:tcBorders>
              <w:top w:val="single" w:color="auto" w:sz="4" w:space="0"/>
              <w:left w:val="nil"/>
              <w:bottom w:val="single" w:color="auto" w:sz="4" w:space="0"/>
              <w:right w:val="single" w:color="auto" w:sz="4" w:space="0"/>
            </w:tcBorders>
            <w:vAlign w:val="center"/>
          </w:tcPr>
          <w:p>
            <w:pPr>
              <w:spacing w:line="40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时  间</w:t>
            </w: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担任职务</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发包人及联系</w:t>
            </w:r>
          </w:p>
          <w:p>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sz w:val="24"/>
              </w:rPr>
            </w:pPr>
          </w:p>
        </w:tc>
      </w:tr>
    </w:tbl>
    <w:p>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pacing w:before="312" w:beforeLines="100" w:after="312" w:afterLines="100" w:line="480" w:lineRule="exact"/>
        <w:jc w:val="center"/>
        <w:textAlignment w:val="center"/>
        <w:rPr>
          <w:rFonts w:cs="宋体" w:asciiTheme="minorEastAsia" w:hAnsiTheme="minorEastAsia" w:eastAsiaTheme="minorEastAsia"/>
          <w:b/>
          <w:bCs/>
          <w:sz w:val="24"/>
          <w:szCs w:val="24"/>
        </w:rPr>
      </w:pPr>
    </w:p>
    <w:p>
      <w:pPr>
        <w:widowControl/>
        <w:jc w:val="left"/>
        <w:rPr>
          <w:rFonts w:cs="宋体" w:asciiTheme="minorEastAsia" w:hAnsiTheme="minorEastAsia" w:eastAsiaTheme="minorEastAsia"/>
          <w:b/>
          <w:bCs/>
          <w:sz w:val="30"/>
          <w:szCs w:val="30"/>
        </w:rPr>
      </w:pPr>
      <w:bookmarkStart w:id="707" w:name="_Toc13861"/>
      <w:bookmarkStart w:id="708" w:name="_Toc17594"/>
      <w:bookmarkStart w:id="709" w:name="_Toc14764"/>
      <w:bookmarkStart w:id="710" w:name="_Toc19060"/>
      <w:r>
        <w:rPr>
          <w:rFonts w:cs="宋体" w:asciiTheme="minorEastAsia" w:hAnsiTheme="minorEastAsia" w:eastAsiaTheme="minorEastAsia"/>
          <w:b/>
          <w:bCs/>
          <w:sz w:val="30"/>
          <w:szCs w:val="30"/>
        </w:rPr>
        <w:br w:type="page"/>
      </w:r>
    </w:p>
    <w:p>
      <w:pPr>
        <w:spacing w:line="480" w:lineRule="exact"/>
        <w:jc w:val="center"/>
        <w:textAlignment w:val="center"/>
        <w:outlineLvl w:val="1"/>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八、资格审查资料</w:t>
      </w:r>
      <w:bookmarkEnd w:id="707"/>
      <w:bookmarkEnd w:id="708"/>
      <w:bookmarkEnd w:id="709"/>
      <w:bookmarkEnd w:id="710"/>
    </w:p>
    <w:p>
      <w:pPr>
        <w:keepNext/>
        <w:keepLines/>
        <w:spacing w:before="280" w:after="290" w:line="420" w:lineRule="exact"/>
        <w:ind w:firstLine="482" w:firstLineChars="200"/>
        <w:jc w:val="center"/>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（一）响应人基本情况表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响应人名称</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注册地址</w:t>
            </w:r>
          </w:p>
        </w:tc>
        <w:tc>
          <w:tcPr>
            <w:tcW w:w="3389"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邮政编码</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联系方式</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联系人</w:t>
            </w:r>
          </w:p>
        </w:tc>
        <w:tc>
          <w:tcPr>
            <w:tcW w:w="232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  话</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sz w:val="24"/>
              </w:rPr>
            </w:pP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传真</w:t>
            </w:r>
          </w:p>
        </w:tc>
        <w:tc>
          <w:tcPr>
            <w:tcW w:w="232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网  址</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组织结构</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法定代表人</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技术负责人</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5102" w:type="dxa"/>
            <w:gridSpan w:val="6"/>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企业资质</w:t>
            </w:r>
          </w:p>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vMerge w:val="restar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其中</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项目经理</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  工</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经营范围</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bl>
    <w:p>
      <w:pPr>
        <w:jc w:val="center"/>
        <w:rPr>
          <w:rFonts w:asciiTheme="minorEastAsia" w:hAnsiTheme="minorEastAsia" w:eastAsiaTheme="minorEastAsia"/>
        </w:rPr>
      </w:pPr>
      <w:r>
        <w:rPr>
          <w:rFonts w:hint="eastAsia" w:asciiTheme="minorEastAsia" w:hAnsiTheme="minorEastAsia" w:eastAsiaTheme="minorEastAsia"/>
        </w:rPr>
        <w:br w:type="page"/>
      </w:r>
    </w:p>
    <w:p>
      <w:pPr>
        <w:keepNext/>
        <w:keepLines/>
        <w:spacing w:before="280" w:after="290" w:line="420" w:lineRule="exact"/>
        <w:ind w:firstLine="482" w:firstLineChars="200"/>
        <w:jc w:val="center"/>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项目所在地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发包人名称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发包人地址</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发包人联系人及电话</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合同价格</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开工日期</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竣工日期</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承担的工作</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工程质量</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建造师</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技术负责人</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总监理工程师及电话</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项目描述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4"/>
              </w:rPr>
            </w:pPr>
          </w:p>
        </w:tc>
      </w:tr>
    </w:tbl>
    <w:p>
      <w:pPr>
        <w:rPr>
          <w:rFonts w:asciiTheme="minorEastAsia" w:hAnsiTheme="minorEastAsia" w:eastAsiaTheme="minorEastAsia"/>
        </w:rPr>
      </w:pPr>
      <w:r>
        <w:rPr>
          <w:rFonts w:cs="宋体" w:asciiTheme="minorEastAsia" w:hAnsiTheme="minorEastAsia" w:eastAsiaTheme="minorEastAsia"/>
          <w:b/>
          <w:bCs/>
          <w:sz w:val="30"/>
          <w:szCs w:val="30"/>
        </w:rPr>
        <w:br w:type="page"/>
      </w:r>
    </w:p>
    <w:p>
      <w:pPr>
        <w:keepNext/>
        <w:keepLines/>
        <w:spacing w:before="280" w:after="290" w:line="420" w:lineRule="exact"/>
        <w:jc w:val="center"/>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三</w:t>
      </w:r>
      <w:r>
        <w:rPr>
          <w:rFonts w:hint="eastAsia" w:cs="宋体" w:asciiTheme="minorEastAsia" w:hAnsiTheme="minorEastAsia" w:eastAsiaTheme="minorEastAsia"/>
          <w:b/>
          <w:bCs/>
          <w:sz w:val="24"/>
          <w:szCs w:val="24"/>
        </w:rPr>
        <w:t>）其他资格审查资料</w:t>
      </w:r>
    </w:p>
    <w:p>
      <w:pPr>
        <w:widowControl/>
        <w:spacing w:line="360" w:lineRule="auto"/>
        <w:ind w:firstLine="1205" w:firstLineChars="500"/>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满足《中华人民共和国政府采购法》第二十二条规定</w:t>
      </w:r>
    </w:p>
    <w:p>
      <w:pPr>
        <w:widowControl/>
        <w:spacing w:line="360" w:lineRule="auto"/>
        <w:jc w:val="left"/>
        <w:rPr>
          <w:rFonts w:ascii="Calibri" w:hAnsi="Calibri"/>
          <w:sz w:val="24"/>
          <w:szCs w:val="24"/>
        </w:rPr>
      </w:pPr>
      <w:r>
        <w:rPr>
          <w:rFonts w:hint="eastAsia" w:ascii="宋体" w:hAnsi="宋体" w:cs="宋体"/>
          <w:color w:val="000000"/>
          <w:kern w:val="0"/>
          <w:sz w:val="24"/>
          <w:szCs w:val="24"/>
          <w:lang w:bidi="ar"/>
        </w:rPr>
        <w:t xml:space="preserve">致 （采购人）：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我公司作为本次采购项目的投标人，根据招标文件要求，现郑重承诺如下：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一、具备《中华人民共和国政府采购法》第二十二条第一款和本项目规定的条件：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（一）具有独立承担民事责任的能力；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（二）具有良好的商业信誉和健全的财务会计制度；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（三）具有履行合同所必需的设备和专业技术能力；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（四）有依法缴纳税收和社会保障资金的良好记录；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（五）参加政府采购活动前三年内，在经营活动中没有重大违法记录；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（六）法律、行政法规规定的其他条件；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（七）根据采购项目提出的特殊条件。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二、完全接受和满足本项目招标文件中规定的实质性要求，如对招标文件有异议，已经在投标截止时间届满前依法进行维权救济，不存在对招标文件有异议的同时又参加投标以求侥幸中标或者为实现其他非法目的的行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三、参加本次招标采购活动，不存在与单位负责人为同一人或者存在直接控股、管理关系的其他投标人参与同一合同项下的政府采购活动的行为。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四、参加本次招标采购活动，不存在为采购项目提供整体设计、规范编制或者项目管理、监理、检测等服务的行为。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五、参加本次招标采购活动，不存在和其他投标人在同一合同项下的采购项目中，同时委托同一个自然人、同一家庭的人员、同一单位的人员作为代理人的行为。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六、投标人参加本次政府采购活动要求在近三年内投标人和其法定代表人没有行贿犯罪行为。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七、参加本次招标采购活动，不存在联合体投标。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八、投标文件中提供的能够给予我公司带来优惠、好处的任何材料资料和技术、服务、商务等响应承诺情况都是真实的、有效的、合法的。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九、存在以下行为之一的愿意接受相关部门的处理：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（一）投标有效期内撤销投标文件的；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（二）在采购人确定中标人以前放弃中标候选资格的；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（三）由于中标人的原因未能按照招标文件的规定与采购人签订合同；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（四）在投标文件中提供虚假材料谋取中标；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（五）与采购人、其他投标人或者采购代理机构恶意串通的；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（六）投标有效期内，投标人在政府采购活动中有违法、违规、违纪行为。 </w:t>
      </w:r>
    </w:p>
    <w:p>
      <w:pPr>
        <w:widowControl/>
        <w:spacing w:line="360" w:lineRule="auto"/>
        <w:jc w:val="left"/>
        <w:rPr>
          <w:rFonts w:ascii="Calibri" w:hAnsi="Calibri"/>
          <w:sz w:val="24"/>
          <w:szCs w:val="24"/>
        </w:rPr>
      </w:pPr>
      <w:r>
        <w:rPr>
          <w:rFonts w:hint="eastAsia" w:ascii="宋体" w:hAnsi="宋体" w:cs="宋体"/>
          <w:color w:val="000000"/>
          <w:kern w:val="0"/>
          <w:sz w:val="24"/>
          <w:szCs w:val="24"/>
          <w:lang w:bidi="ar"/>
        </w:rPr>
        <w:t xml:space="preserve">由此产生的一切法律后果和责任由我公司承担。我公司声明放弃对此提出任何异议和追索的权利。 </w:t>
      </w:r>
    </w:p>
    <w:p>
      <w:pPr>
        <w:widowControl/>
        <w:spacing w:line="360" w:lineRule="auto"/>
        <w:ind w:firstLine="480" w:firstLineChars="200"/>
        <w:jc w:val="left"/>
        <w:rPr>
          <w:rFonts w:ascii="Calibri" w:hAnsi="Calibri"/>
          <w:sz w:val="24"/>
          <w:szCs w:val="24"/>
        </w:rPr>
      </w:pPr>
      <w:r>
        <w:rPr>
          <w:rFonts w:hint="eastAsia" w:ascii="宋体" w:hAnsi="宋体" w:cs="宋体"/>
          <w:color w:val="000000"/>
          <w:kern w:val="0"/>
          <w:sz w:val="24"/>
          <w:szCs w:val="24"/>
          <w:lang w:bidi="ar"/>
        </w:rPr>
        <w:t xml:space="preserve">本公司对上述承诺的内容事项真实性负责。如经查实上述承诺的内容事项存在虚假，我公司愿意接受以提供虚假材料谋取中标追究法律责任。 </w:t>
      </w:r>
    </w:p>
    <w:p>
      <w:pPr>
        <w:spacing w:line="520" w:lineRule="exact"/>
        <w:rPr>
          <w:rFonts w:ascii="仿宋_GB2312" w:hAnsi="宋体" w:eastAsia="仿宋_GB2312"/>
          <w:color w:val="008000"/>
          <w:kern w:val="0"/>
          <w:sz w:val="24"/>
          <w:szCs w:val="24"/>
        </w:rPr>
      </w:pPr>
    </w:p>
    <w:p>
      <w:pPr>
        <w:spacing w:line="360" w:lineRule="auto"/>
        <w:jc w:val="center"/>
        <w:rPr>
          <w:rFonts w:ascii="宋体" w:hAnsi="宋体" w:cs="宋体"/>
          <w:color w:val="000000"/>
          <w:kern w:val="10"/>
          <w:sz w:val="24"/>
          <w:szCs w:val="24"/>
          <w:shd w:val="clear" w:color="auto" w:fill="FFFFFF" w:themeFill="background1"/>
        </w:rPr>
      </w:pPr>
      <w:r>
        <w:rPr>
          <w:rFonts w:hint="eastAsia" w:ascii="宋体" w:hAnsi="宋体" w:cs="宋体"/>
          <w:color w:val="000000"/>
          <w:kern w:val="10"/>
          <w:sz w:val="24"/>
          <w:szCs w:val="24"/>
          <w:shd w:val="clear" w:color="auto" w:fill="FFFFFF" w:themeFill="background1"/>
        </w:rPr>
        <w:t xml:space="preserve">    </w:t>
      </w:r>
      <w:r>
        <w:rPr>
          <w:rFonts w:hint="eastAsia" w:ascii="宋体" w:hAnsi="宋体" w:cs="宋体"/>
          <w:color w:val="000000"/>
          <w:kern w:val="10"/>
          <w:sz w:val="24"/>
          <w:szCs w:val="24"/>
          <w:shd w:val="clear" w:color="auto" w:fill="FFFFFF" w:themeFill="background1"/>
          <w:lang w:val="en-US" w:eastAsia="zh-CN"/>
        </w:rPr>
        <w:t>响应</w:t>
      </w:r>
      <w:r>
        <w:rPr>
          <w:rFonts w:hint="eastAsia" w:ascii="宋体" w:hAnsi="宋体" w:cs="宋体"/>
          <w:color w:val="000000"/>
          <w:kern w:val="10"/>
          <w:sz w:val="24"/>
          <w:szCs w:val="24"/>
          <w:shd w:val="clear" w:color="auto" w:fill="FFFFFF" w:themeFill="background1"/>
        </w:rPr>
        <w:t>人：</w:t>
      </w:r>
      <w:r>
        <w:rPr>
          <w:rFonts w:hint="eastAsia" w:ascii="宋体" w:hAnsi="宋体" w:cs="宋体"/>
          <w:color w:val="000000"/>
          <w:kern w:val="10"/>
          <w:sz w:val="24"/>
          <w:szCs w:val="24"/>
          <w:u w:val="single"/>
          <w:shd w:val="clear" w:color="auto" w:fill="FFFFFF" w:themeFill="background1"/>
        </w:rPr>
        <w:t xml:space="preserve">       （盖章） </w:t>
      </w:r>
    </w:p>
    <w:p>
      <w:pPr>
        <w:spacing w:line="360" w:lineRule="auto"/>
        <w:rPr>
          <w:rFonts w:ascii="宋体" w:hAnsi="宋体" w:cs="宋体"/>
          <w:color w:val="000000"/>
          <w:kern w:val="10"/>
          <w:sz w:val="24"/>
          <w:szCs w:val="24"/>
          <w:u w:val="single"/>
          <w:shd w:val="clear" w:color="auto" w:fill="FFFFFF" w:themeFill="background1"/>
        </w:rPr>
      </w:pPr>
      <w:r>
        <w:rPr>
          <w:rFonts w:hint="eastAsia" w:ascii="宋体" w:hAnsi="宋体" w:cs="宋体"/>
          <w:color w:val="000000"/>
          <w:kern w:val="10"/>
          <w:sz w:val="24"/>
          <w:szCs w:val="24"/>
          <w:shd w:val="clear" w:color="auto" w:fill="FFFFFF" w:themeFill="background1"/>
        </w:rPr>
        <w:t xml:space="preserve">                                        法定代表人：</w:t>
      </w:r>
      <w:r>
        <w:rPr>
          <w:rFonts w:hint="eastAsia" w:ascii="宋体" w:hAnsi="宋体" w:cs="宋体"/>
          <w:color w:val="000000"/>
          <w:kern w:val="10"/>
          <w:sz w:val="24"/>
          <w:szCs w:val="24"/>
          <w:u w:val="single"/>
          <w:shd w:val="clear" w:color="auto" w:fill="FFFFFF" w:themeFill="background1"/>
        </w:rPr>
        <w:t xml:space="preserve">    （签章）</w:t>
      </w:r>
      <w:r>
        <w:rPr>
          <w:rFonts w:hint="eastAsia" w:ascii="宋体" w:hAnsi="宋体" w:cs="宋体"/>
          <w:color w:val="000000"/>
          <w:kern w:val="10"/>
          <w:sz w:val="24"/>
          <w:szCs w:val="24"/>
          <w:shd w:val="clear" w:color="auto" w:fill="FFFFFF" w:themeFill="background1"/>
        </w:rPr>
        <w:t xml:space="preserve">                                    </w:t>
      </w:r>
    </w:p>
    <w:p>
      <w:pPr>
        <w:spacing w:line="360" w:lineRule="auto"/>
        <w:rPr>
          <w:sz w:val="24"/>
          <w:szCs w:val="24"/>
        </w:rPr>
      </w:pPr>
      <w:r>
        <w:rPr>
          <w:rFonts w:hint="eastAsia" w:ascii="宋体" w:hAnsi="宋体" w:cs="宋体"/>
          <w:color w:val="000000"/>
          <w:kern w:val="10"/>
          <w:sz w:val="24"/>
          <w:szCs w:val="24"/>
          <w:shd w:val="clear" w:color="auto" w:fill="FFFFFF" w:themeFill="background1"/>
        </w:rPr>
        <w:t xml:space="preserve">                                        日期：</w:t>
      </w:r>
      <w:r>
        <w:rPr>
          <w:rFonts w:hint="eastAsia" w:ascii="宋体" w:hAnsi="宋体" w:cs="宋体"/>
          <w:color w:val="000000"/>
          <w:kern w:val="10"/>
          <w:sz w:val="24"/>
          <w:szCs w:val="24"/>
          <w:u w:val="single"/>
          <w:shd w:val="clear" w:color="auto" w:fill="FFFFFF" w:themeFill="background1"/>
        </w:rPr>
        <w:t xml:space="preserve">      </w:t>
      </w:r>
      <w:r>
        <w:rPr>
          <w:rFonts w:hint="eastAsia" w:ascii="宋体" w:hAnsi="宋体" w:cs="宋体"/>
          <w:color w:val="000000"/>
          <w:kern w:val="10"/>
          <w:sz w:val="24"/>
          <w:szCs w:val="24"/>
          <w:shd w:val="clear" w:color="auto" w:fill="FFFFFF" w:themeFill="background1"/>
        </w:rPr>
        <w:t>年</w:t>
      </w:r>
      <w:r>
        <w:rPr>
          <w:rFonts w:hint="eastAsia" w:ascii="宋体" w:hAnsi="宋体" w:cs="宋体"/>
          <w:color w:val="000000"/>
          <w:kern w:val="10"/>
          <w:sz w:val="24"/>
          <w:szCs w:val="24"/>
          <w:u w:val="single"/>
          <w:shd w:val="clear" w:color="auto" w:fill="FFFFFF" w:themeFill="background1"/>
        </w:rPr>
        <w:t xml:space="preserve">      </w:t>
      </w:r>
      <w:r>
        <w:rPr>
          <w:rFonts w:hint="eastAsia" w:ascii="宋体" w:hAnsi="宋体" w:cs="宋体"/>
          <w:color w:val="000000"/>
          <w:kern w:val="10"/>
          <w:sz w:val="24"/>
          <w:szCs w:val="24"/>
          <w:shd w:val="clear" w:color="auto" w:fill="FFFFFF" w:themeFill="background1"/>
        </w:rPr>
        <w:t xml:space="preserve"> 月</w:t>
      </w:r>
      <w:r>
        <w:rPr>
          <w:rFonts w:hint="eastAsia" w:ascii="宋体" w:hAnsi="宋体" w:cs="宋体"/>
          <w:color w:val="000000"/>
          <w:kern w:val="10"/>
          <w:sz w:val="24"/>
          <w:szCs w:val="24"/>
          <w:u w:val="single"/>
          <w:shd w:val="clear" w:color="auto" w:fill="FFFFFF" w:themeFill="background1"/>
        </w:rPr>
        <w:t xml:space="preserve">      </w:t>
      </w:r>
      <w:r>
        <w:rPr>
          <w:rFonts w:hint="eastAsia" w:ascii="宋体" w:hAnsi="宋体" w:cs="宋体"/>
          <w:color w:val="000000"/>
          <w:kern w:val="10"/>
          <w:sz w:val="24"/>
          <w:szCs w:val="24"/>
          <w:shd w:val="clear" w:color="auto" w:fill="FFFFFF" w:themeFill="background1"/>
        </w:rPr>
        <w:t>日</w:t>
      </w:r>
    </w:p>
    <w:p>
      <w:pPr>
        <w:widowControl/>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四</w:t>
      </w:r>
      <w:r>
        <w:rPr>
          <w:rFonts w:hint="eastAsia" w:cs="宋体" w:asciiTheme="minorEastAsia" w:hAnsiTheme="minorEastAsia" w:eastAsiaTheme="minorEastAsia"/>
          <w:b/>
          <w:bCs/>
          <w:sz w:val="24"/>
          <w:szCs w:val="24"/>
        </w:rPr>
        <w:t>）</w:t>
      </w:r>
      <w:r>
        <w:rPr>
          <w:rFonts w:hint="eastAsia" w:ascii="宋体" w:hAnsi="宋体" w:cs="宋体"/>
          <w:b/>
          <w:bCs/>
          <w:color w:val="000000"/>
          <w:kern w:val="10"/>
          <w:sz w:val="28"/>
          <w:szCs w:val="28"/>
          <w:shd w:val="clear" w:color="auto" w:fill="FFFFFF" w:themeFill="background1"/>
        </w:rPr>
        <w:t>（</w:t>
      </w:r>
      <w:r>
        <w:rPr>
          <w:rFonts w:hint="eastAsia" w:ascii="宋体" w:hAnsi="宋体" w:cs="宋体"/>
          <w:b/>
          <w:bCs/>
          <w:color w:val="000000"/>
          <w:kern w:val="10"/>
          <w:sz w:val="28"/>
          <w:szCs w:val="28"/>
          <w:shd w:val="clear" w:color="auto" w:fill="FFFFFF" w:themeFill="background1"/>
          <w:lang w:val="en-US" w:eastAsia="zh-CN"/>
        </w:rPr>
        <w:t>1</w:t>
      </w:r>
      <w:r>
        <w:rPr>
          <w:rFonts w:hint="eastAsia" w:ascii="宋体" w:hAnsi="宋体" w:cs="宋体"/>
          <w:b/>
          <w:bCs/>
          <w:color w:val="000000"/>
          <w:kern w:val="10"/>
          <w:sz w:val="28"/>
          <w:szCs w:val="28"/>
          <w:shd w:val="clear" w:color="auto" w:fill="FFFFFF" w:themeFill="background1"/>
        </w:rPr>
        <w:t>）中小企业声明函</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以上企业，不属于大企业的分支机构，不存在控股股东为大企业的情形，也不存在与大企业的负责人为同一人的情形。</w:t>
      </w:r>
    </w:p>
    <w:p>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本公司对上述声明的真实性负责。如有虚假，将承担相应的法律责任。</w:t>
      </w:r>
    </w:p>
    <w:p>
      <w:pPr>
        <w:spacing w:line="400" w:lineRule="exact"/>
        <w:ind w:firstLine="480" w:firstLineChars="200"/>
        <w:rPr>
          <w:rFonts w:ascii="宋体" w:hAnsi="宋体" w:cs="宋体"/>
          <w:sz w:val="24"/>
          <w:shd w:val="clear" w:color="auto" w:fill="FFFFFF" w:themeFill="background1"/>
        </w:rPr>
      </w:pPr>
    </w:p>
    <w:p>
      <w:pPr>
        <w:wordWrap w:val="0"/>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（盖章）</w:t>
      </w:r>
    </w:p>
    <w:p>
      <w:pPr>
        <w:spacing w:line="400" w:lineRule="exact"/>
        <w:ind w:firstLine="480" w:firstLineChars="20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法定代表人或其委托代理人：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（签字）</w:t>
      </w:r>
    </w:p>
    <w:p>
      <w:pPr>
        <w:rPr>
          <w:rFonts w:ascii="宋体" w:hAnsi="宋体" w:cs="宋体"/>
          <w:b/>
          <w:sz w:val="24"/>
          <w:shd w:val="clear" w:color="auto" w:fill="FFFFFF" w:themeFill="background1"/>
        </w:rPr>
      </w:pPr>
    </w:p>
    <w:p>
      <w:pPr>
        <w:spacing w:line="360" w:lineRule="auto"/>
        <w:rPr>
          <w:rFonts w:ascii="宋体" w:hAnsi="宋体" w:cs="宋体"/>
          <w:color w:val="000000"/>
          <w:kern w:val="10"/>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注：①从业人员、营业收入、资产总额填报上一年度数据，无上一年度数据的新成立企业可不填报。</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②供应商提供的货物既有中小企业制造货物，也有大型企业制造货物的，不享受《政府采购促进中小企业发展管理办法》规定的中小企业扶持政策。</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 xml:space="preserve">③以联合体形式参加政府采购活动，联合体各方均为中小企业的，联合体视同中小企业。其中，联合体各方均为小微企业的，联合体视同小微企业。 </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pPr>
        <w:spacing w:line="360" w:lineRule="auto"/>
        <w:ind w:firstLine="400" w:firstLineChars="200"/>
        <w:rPr>
          <w:rFonts w:ascii="宋体" w:hAnsi="宋体" w:cs="宋体"/>
          <w:color w:val="000000"/>
          <w:kern w:val="10"/>
          <w:sz w:val="20"/>
          <w:szCs w:val="18"/>
          <w:shd w:val="clear" w:color="auto" w:fill="FFFFFF" w:themeFill="background1"/>
        </w:rPr>
      </w:pPr>
      <w:r>
        <w:rPr>
          <w:rFonts w:hint="eastAsia" w:ascii="宋体" w:hAnsi="宋体" w:cs="宋体"/>
          <w:color w:val="000000"/>
          <w:kern w:val="10"/>
          <w:sz w:val="20"/>
          <w:szCs w:val="18"/>
          <w:shd w:val="clear" w:color="auto" w:fill="FFFFFF" w:themeFill="background1"/>
        </w:rPr>
        <w:t>⑥在货物采购项目中，货物应当由中小企业制造，不对其中涉及的服务的承接商作出要求。</w:t>
      </w:r>
    </w:p>
    <w:p>
      <w:pPr>
        <w:spacing w:line="480" w:lineRule="auto"/>
        <w:ind w:right="140"/>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w:t>
      </w:r>
      <w:r>
        <w:rPr>
          <w:rFonts w:hint="eastAsia" w:ascii="宋体" w:hAnsi="宋体" w:cs="宋体"/>
          <w:b/>
          <w:bCs/>
          <w:color w:val="000000"/>
          <w:kern w:val="10"/>
          <w:sz w:val="28"/>
          <w:szCs w:val="28"/>
          <w:shd w:val="clear" w:color="auto" w:fill="FFFFFF" w:themeFill="background1"/>
          <w:lang w:val="en-US" w:eastAsia="zh-CN"/>
        </w:rPr>
        <w:t>2</w:t>
      </w:r>
      <w:r>
        <w:rPr>
          <w:rFonts w:hint="eastAsia" w:ascii="宋体" w:hAnsi="宋体" w:cs="宋体"/>
          <w:b/>
          <w:bCs/>
          <w:color w:val="000000"/>
          <w:kern w:val="10"/>
          <w:sz w:val="28"/>
          <w:szCs w:val="28"/>
          <w:shd w:val="clear" w:color="auto" w:fill="FFFFFF" w:themeFill="background1"/>
        </w:rPr>
        <w:t>）监狱企业证明材料</w:t>
      </w:r>
    </w:p>
    <w:p>
      <w:pPr>
        <w:spacing w:line="360" w:lineRule="auto"/>
        <w:ind w:firstLine="504" w:firstLineChars="200"/>
        <w:rPr>
          <w:rFonts w:ascii="宋体" w:hAnsi="宋体" w:cs="宋体"/>
          <w:spacing w:val="6"/>
          <w:sz w:val="24"/>
          <w:shd w:val="clear" w:color="auto" w:fill="FFFFFF" w:themeFill="background1"/>
        </w:rPr>
      </w:pPr>
    </w:p>
    <w:p>
      <w:pPr>
        <w:spacing w:line="360" w:lineRule="auto"/>
        <w:ind w:firstLine="504" w:firstLineChars="200"/>
        <w:jc w:val="left"/>
        <w:outlineLvl w:val="1"/>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p>
    <w:p>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pPr>
        <w:widowControl/>
        <w:spacing w:line="360" w:lineRule="auto"/>
        <w:rPr>
          <w:rFonts w:ascii="宋体" w:hAnsi="宋体" w:cs="宋体"/>
          <w:b/>
          <w:color w:val="000000"/>
          <w:sz w:val="24"/>
        </w:rPr>
      </w:pPr>
      <w:r>
        <w:rPr>
          <w:rFonts w:hint="eastAsia" w:ascii="宋体" w:hAnsi="宋体" w:cs="宋体"/>
          <w:b/>
          <w:color w:val="000000"/>
          <w:sz w:val="24"/>
        </w:rPr>
        <w:t>（提醒：如果投标人</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jc w:val="center"/>
        <w:outlineLvl w:val="1"/>
        <w:rPr>
          <w:rFonts w:ascii="宋体" w:hAnsi="宋体" w:cs="宋体"/>
          <w:b/>
          <w:bCs/>
          <w:color w:val="000000"/>
          <w:kern w:val="10"/>
          <w:sz w:val="28"/>
          <w:szCs w:val="28"/>
          <w:shd w:val="clear" w:color="auto" w:fill="FFFFFF" w:themeFill="background1"/>
        </w:rPr>
      </w:pPr>
    </w:p>
    <w:p>
      <w:pPr>
        <w:spacing w:line="360" w:lineRule="auto"/>
        <w:outlineLvl w:val="1"/>
        <w:rPr>
          <w:rFonts w:ascii="宋体" w:hAnsi="宋体" w:cs="宋体"/>
          <w:b/>
          <w:bCs/>
          <w:color w:val="000000"/>
          <w:kern w:val="10"/>
          <w:sz w:val="28"/>
          <w:szCs w:val="28"/>
          <w:shd w:val="clear" w:color="auto" w:fill="FFFFFF" w:themeFill="background1"/>
        </w:rPr>
      </w:pPr>
    </w:p>
    <w:p>
      <w:pPr>
        <w:rPr>
          <w:rFonts w:hint="eastAsia"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w:t>
      </w:r>
      <w:r>
        <w:rPr>
          <w:rFonts w:hint="eastAsia" w:ascii="宋体" w:hAnsi="宋体" w:cs="宋体"/>
          <w:b/>
          <w:bCs/>
          <w:color w:val="000000"/>
          <w:kern w:val="10"/>
          <w:sz w:val="28"/>
          <w:szCs w:val="28"/>
          <w:shd w:val="clear" w:color="auto" w:fill="FFFFFF" w:themeFill="background1"/>
          <w:lang w:val="en-US" w:eastAsia="zh-CN"/>
        </w:rPr>
        <w:t>3</w:t>
      </w:r>
      <w:r>
        <w:rPr>
          <w:rFonts w:hint="eastAsia" w:ascii="宋体" w:hAnsi="宋体" w:cs="宋体"/>
          <w:b/>
          <w:bCs/>
          <w:color w:val="000000"/>
          <w:kern w:val="10"/>
          <w:sz w:val="28"/>
          <w:szCs w:val="28"/>
          <w:shd w:val="clear" w:color="auto" w:fill="FFFFFF" w:themeFill="background1"/>
        </w:rPr>
        <w:t>）残疾人福利性单位声明函</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pPr>
        <w:spacing w:line="360" w:lineRule="auto"/>
        <w:ind w:firstLine="504" w:firstLineChars="200"/>
        <w:rPr>
          <w:rFonts w:ascii="宋体" w:hAnsi="宋体" w:cs="宋体"/>
          <w:spacing w:val="6"/>
          <w:sz w:val="24"/>
          <w:shd w:val="clear" w:color="auto" w:fill="FFFFFF" w:themeFill="background1"/>
        </w:rPr>
      </w:pPr>
    </w:p>
    <w:p>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pPr>
        <w:spacing w:line="360" w:lineRule="auto"/>
        <w:ind w:firstLine="504" w:firstLineChars="200"/>
        <w:jc w:val="center"/>
        <w:rPr>
          <w:rFonts w:ascii="宋体" w:hAnsi="宋体" w:cs="宋体"/>
          <w:spacing w:val="6"/>
          <w:sz w:val="24"/>
          <w:shd w:val="clear" w:color="auto" w:fill="FFFFFF" w:themeFill="background1"/>
        </w:rPr>
      </w:pPr>
    </w:p>
    <w:p>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（提醒：如果投标人不是残疾人福利性单位，则不需要提供本声明函。）</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 中标人为残疾人福利性单位的，采购人或者其委托的采购代理机构应当随中标、成交结果同时公告其《残疾人福利性单位声明函》，接受社会监督。</w:t>
      </w:r>
    </w:p>
    <w:p>
      <w:pPr>
        <w:pStyle w:val="5"/>
      </w:pPr>
    </w:p>
    <w:p>
      <w:pPr>
        <w:spacing w:line="480" w:lineRule="exact"/>
        <w:jc w:val="center"/>
        <w:textAlignment w:val="center"/>
        <w:outlineLvl w:val="1"/>
        <w:rPr>
          <w:rFonts w:hint="eastAsia" w:cs="宋体" w:asciiTheme="minorEastAsia" w:hAnsiTheme="minorEastAsia" w:eastAsiaTheme="minorEastAsia"/>
          <w:b/>
          <w:bCs/>
          <w:sz w:val="30"/>
          <w:szCs w:val="30"/>
        </w:rPr>
      </w:pPr>
    </w:p>
    <w:p>
      <w:pPr>
        <w:spacing w:line="480" w:lineRule="exact"/>
        <w:jc w:val="center"/>
        <w:textAlignment w:val="center"/>
        <w:outlineLvl w:val="1"/>
        <w:rPr>
          <w:rFonts w:asciiTheme="minorEastAsia" w:hAnsiTheme="minorEastAsia" w:eastAsiaTheme="minorEastAsia"/>
          <w:sz w:val="24"/>
          <w:szCs w:val="24"/>
        </w:rPr>
      </w:pPr>
      <w:r>
        <w:rPr>
          <w:rFonts w:hint="eastAsia" w:cs="宋体" w:asciiTheme="minorEastAsia" w:hAnsiTheme="minorEastAsia" w:eastAsiaTheme="minorEastAsia"/>
          <w:b/>
          <w:bCs/>
          <w:sz w:val="30"/>
          <w:szCs w:val="30"/>
        </w:rPr>
        <w:t>九、其他资料</w:t>
      </w:r>
    </w:p>
    <w:p>
      <w:pPr>
        <w:rPr>
          <w:rFonts w:asciiTheme="minorEastAsia" w:hAnsiTheme="minorEastAsia" w:eastAsiaTheme="minorEastAsia"/>
          <w:bCs/>
          <w:sz w:val="24"/>
          <w:szCs w:val="24"/>
        </w:rPr>
      </w:pPr>
      <w:bookmarkStart w:id="711" w:name="_Toc2121"/>
      <w:bookmarkStart w:id="712" w:name="_Toc23813"/>
      <w:bookmarkStart w:id="713" w:name="_Toc3760"/>
      <w:r>
        <w:rPr>
          <w:rFonts w:hint="eastAsia" w:asciiTheme="minorEastAsia" w:hAnsiTheme="minorEastAsia" w:eastAsiaTheme="minorEastAsia"/>
          <w:bCs/>
          <w:sz w:val="24"/>
          <w:szCs w:val="24"/>
        </w:rPr>
        <w:t>响应人认为有利于投标的其他证明资料附后。</w:t>
      </w:r>
      <w:bookmarkEnd w:id="711"/>
      <w:bookmarkEnd w:id="712"/>
      <w:bookmarkEnd w:id="713"/>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480" w:lineRule="exact"/>
        <w:textAlignment w:val="center"/>
        <w:rPr>
          <w:rFonts w:cs="宋体" w:asciiTheme="minorEastAsia" w:hAnsiTheme="minorEastAsia" w:eastAsiaTheme="minorEastAsia"/>
          <w:sz w:val="24"/>
        </w:rPr>
      </w:pPr>
    </w:p>
    <w:p>
      <w:pPr>
        <w:rPr>
          <w:rFonts w:asciiTheme="minorEastAsia" w:hAnsiTheme="minorEastAsia" w:eastAsiaTheme="minorEastAsia"/>
        </w:rPr>
      </w:pPr>
    </w:p>
    <w:p>
      <w:pPr>
        <w:spacing w:line="500" w:lineRule="exact"/>
        <w:rPr>
          <w:rFonts w:asciiTheme="minorEastAsia" w:hAnsiTheme="minorEastAsia" w:eastAsiaTheme="minorEastAsia"/>
          <w:sz w:val="24"/>
          <w:szCs w:val="24"/>
        </w:rPr>
      </w:pPr>
    </w:p>
    <w:p/>
    <w:sectPr>
      <w:headerReference r:id="rId5" w:type="default"/>
      <w:footerReference r:id="rId6" w:type="default"/>
      <w:pgSz w:w="11906" w:h="16838"/>
      <w:pgMar w:top="1247" w:right="1701" w:bottom="1247"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3UTQAAAAAgEAAA8AAAAAAAAAAQAgAAAAIgAAAGRycy9kb3ducmV2LnhtbFBLAQIU&#10;ABQAAAAIAIdO4kAfNmbt+wEAAAEEAAAOAAAAAAAAAAEAIAAAAB8BAABkcnMvZTJvRG9jLnhtbFBL&#10;BQYAAAAABgAGAFkBAACM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pPr>
                          <w:r>
                            <w:fldChar w:fldCharType="begin"/>
                          </w:r>
                          <w:r>
                            <w:instrText xml:space="preserve"> PAGE  \* MERGEFORMAT </w:instrText>
                          </w:r>
                          <w:r>
                            <w:fldChar w:fldCharType="separate"/>
                          </w:r>
                          <w:r>
                            <w:t>64</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3UTQAAAAAgEAAA8AAAAAAAAAAQAgAAAAIgAAAGRycy9kb3ducmV2LnhtbFBLAQIU&#10;ABQAAAAIAIdO4kDO4bvG+wEAAAEEAAAOAAAAAAAAAAEAIAAAAB8BAABkcnMvZTJvRG9jLnhtbFBL&#10;BQYAAAAABgAGAFkBAACM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0F7605"/>
    <w:multiLevelType w:val="singleLevel"/>
    <w:tmpl w:val="4E0F7605"/>
    <w:lvl w:ilvl="0" w:tentative="0">
      <w:start w:val="4"/>
      <w:numFmt w:val="decimal"/>
      <w:lvlText w:val="%1."/>
      <w:lvlJc w:val="left"/>
      <w:pPr>
        <w:tabs>
          <w:tab w:val="left" w:pos="312"/>
        </w:tabs>
      </w:pPr>
    </w:lvl>
  </w:abstractNum>
  <w:num w:numId="1">
    <w:abstractNumId w:val="2"/>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s>
  <w:rsids>
    <w:rsidRoot w:val="6FBC5A14"/>
    <w:rsid w:val="1F6314E4"/>
    <w:rsid w:val="2E2D1C81"/>
    <w:rsid w:val="5FAB4EF4"/>
    <w:rsid w:val="644A6246"/>
    <w:rsid w:val="652D670A"/>
    <w:rsid w:val="6FBC5A14"/>
    <w:rsid w:val="70A21D22"/>
    <w:rsid w:val="7ACC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rFonts w:ascii="Calibri" w:hAnsi="Calibri"/>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textAlignment w:val="baseline"/>
    </w:pPr>
  </w:style>
  <w:style w:type="paragraph" w:styleId="5">
    <w:name w:val="Body Text"/>
    <w:basedOn w:val="1"/>
    <w:next w:val="1"/>
    <w:qFormat/>
    <w:uiPriority w:val="99"/>
    <w:pPr>
      <w:snapToGrid w:val="0"/>
      <w:spacing w:line="360" w:lineRule="auto"/>
    </w:pPr>
    <w:rPr>
      <w:kern w:val="0"/>
      <w:sz w:val="24"/>
      <w:szCs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9">
    <w:name w:val="footnote text"/>
    <w:basedOn w:val="1"/>
    <w:qFormat/>
    <w:uiPriority w:val="0"/>
    <w:pPr>
      <w:snapToGrid w:val="0"/>
      <w:jc w:val="left"/>
    </w:pPr>
    <w:rPr>
      <w:sz w:val="18"/>
      <w:szCs w:val="18"/>
    </w:rPr>
  </w:style>
  <w:style w:type="paragraph" w:styleId="10">
    <w:name w:val="Body Text First Indent"/>
    <w:basedOn w:val="5"/>
    <w:unhideWhenUsed/>
    <w:qFormat/>
    <w:uiPriority w:val="0"/>
    <w:pPr>
      <w:snapToGrid/>
      <w:spacing w:after="120" w:line="240" w:lineRule="auto"/>
      <w:ind w:firstLine="420" w:firstLineChars="100"/>
    </w:pPr>
    <w:rPr>
      <w:kern w:val="2"/>
      <w:sz w:val="21"/>
      <w:szCs w:val="21"/>
    </w:rPr>
  </w:style>
  <w:style w:type="character" w:styleId="13">
    <w:name w:val="page number"/>
    <w:basedOn w:val="12"/>
    <w:qFormat/>
    <w:uiPriority w:val="99"/>
  </w:style>
  <w:style w:type="character" w:styleId="14">
    <w:name w:val="Hyperlink"/>
    <w:basedOn w:val="12"/>
    <w:qFormat/>
    <w:uiPriority w:val="99"/>
    <w:rPr>
      <w:color w:val="0000FF"/>
      <w:u w:val="none"/>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24397</Words>
  <Characters>26337</Characters>
  <Lines>0</Lines>
  <Paragraphs>0</Paragraphs>
  <TotalTime>75</TotalTime>
  <ScaleCrop>false</ScaleCrop>
  <LinksUpToDate>false</LinksUpToDate>
  <CharactersWithSpaces>31076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2025-09-19T07:26:00Z</dcterms:created>
  <dc:creator>hp</dc:creator>
  <cp:lastModifiedBy>Administrator</cp:lastModifiedBy>
  <dcterms:modified xsi:type="dcterms:W3CDTF">2025-09-29T09:20:03Z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BD27935CEC5C4C6BAB2F4A00C3EF0FEE</vt:lpwstr>
  </property>
  <property fmtid="{D5CDD505-2E9C-101B-9397-08002B2CF9AE}" pid="4" name="KSOTemplateDocerSaveRecord">
    <vt:lpwstr>eyJoZGlkIjoiNWI0NzZmMGY5MTM5Y2E1NTM0MjU5MWVkMmZkYzMzZDUiLCJ1c2VySWQiOiIyMjY4NDM5MjkifQ==</vt:lpwstr>
  </property>
</Properties>
</file>